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ma-20260630.htm"/>
      <w:bookmarkStart w:id="1" w:name="ksima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 to 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001-40287</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ImageneBio,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81-1697316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12526 High Bluff Drive</w:t>
            </w:r>
          </w:p>
          <w:p>
            <w:pPr>
              <w:pStyle w:val="TableContents"/>
              <w:bidi w:val="0"/>
              <w:jc w:val="center"/>
              <w:rPr>
                <w:rFonts w:ascii="Times New Roman" w:hAnsi="Times New Roman"/>
                <w:b/>
                <w:color w:val="000000"/>
                <w:sz w:val="18"/>
              </w:rPr>
            </w:pPr>
            <w:r>
              <w:rPr>
                <w:rFonts w:ascii="Times New Roman" w:hAnsi="Times New Roman"/>
                <w:b/>
                <w:color w:val="000000"/>
                <w:sz w:val="18"/>
              </w:rPr>
              <w:t>Suite 345</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(858) 345-6265</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2506"/>
        <w:gridCol w:w="146"/>
        <w:gridCol w:w="826"/>
        <w:gridCol w:w="146"/>
        <w:gridCol w:w="3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Capital Market</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July 31, 2026, the registrant had 11,351,456</w:t>
      </w:r>
      <w:r>
        <w:rPr>
          <w:rFonts w:ascii="Times New Roman" w:hAnsi="Times New Roman"/>
          <w:color w:val="000000"/>
          <w:sz w:val="20"/>
        </w:rPr>
        <w:t xml:space="preserve"> </w:t>
      </w:r>
      <w:r>
        <w:rPr>
          <w:rFonts w:ascii="Times New Roman" w:hAnsi="Times New Roman"/>
          <w:color w:val="000000"/>
          <w:sz w:val="18"/>
        </w:rPr>
        <w:t>shares of its voting common stock, $0.001 par value per share, issued and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8829"/>
        <w:gridCol w:w="512"/>
      </w:tblGrid>
      <w:tr>
        <w:trPr/>
        <w:tc>
          <w:tcPr>
            <w:tcW w:w="864" w:type="dxa"/>
            <w:tcBorders/>
            <w:vAlign w:val="center"/>
          </w:tcPr>
          <w:p>
            <w:pPr>
              <w:pStyle w:val="TableContents"/>
              <w:bidi w:val="0"/>
              <w:spacing w:before="0" w:after="283"/>
              <w:jc w:val="left"/>
              <w:rPr>
                <w:sz w:val="4"/>
                <w:szCs w:val="4"/>
              </w:rPr>
            </w:pPr>
            <w:r>
              <w:rPr>
                <w:sz w:val="4"/>
                <w:szCs w:val="4"/>
              </w:rPr>
            </w:r>
          </w:p>
        </w:tc>
        <w:tc>
          <w:tcPr>
            <w:tcW w:w="88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hyperlink w:anchor="item_1_financial_statement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_cons_stmt_of_ops_and_comp_loss">
              <w:r>
                <w:rPr>
                  <w:rStyle w:val="InternetLink"/>
                  <w:rFonts w:ascii="Times New Roman" w:hAnsi="Times New Roman"/>
                  <w:color w:val="0000FF"/>
                  <w:sz w:val="20"/>
                  <w:u w:val="single"/>
                </w:rPr>
                <w:t>Condensed Consolidated Statements of Operations and Comprehensive Loss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_cons_stmt_of_redeemable_convertible">
              <w:r>
                <w:rPr>
                  <w:rStyle w:val="InternetLink"/>
                  <w:rFonts w:ascii="Times New Roman" w:hAnsi="Times New Roman"/>
                  <w:color w:val="0000FF"/>
                  <w:sz w:val="20"/>
                  <w:u w:val="single"/>
                </w:rPr>
                <w:t>Condensed Consolidated Statements of Redeemable Convertible Preferred Shares and Stockholders’ Equity (Deficit)</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_cons_stmt_of_cash_flows">
              <w:r>
                <w:rPr>
                  <w:rStyle w:val="InternetLink"/>
                  <w:rFonts w:ascii="Times New Roman" w:hAnsi="Times New Roman"/>
                  <w:color w:val="0000FF"/>
                  <w:sz w:val="20"/>
                  <w:u w:val="single"/>
                </w:rPr>
                <w:t>Condensed Consolidated Statements of Cash Flows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_cons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25, 2025 (the “Closing Date”), the Delaware corporation formerly known as “Ikena Oncology, Inc.” (“Ikena”) completed its previously announced merger with Inmagene Biopharmaceuticals, a privately held exempted company with limited liability incorporated and existing under the laws of the Cayman Islands (“Legacy Inmagene”). The transaction was completed in accordance with the terms of the Agreement and Plan of Merger, dated as of December 23, 2024 (the “Merger Agreement”), by and among Ikena, Insight Merger Sub I, an exempted company with limited liability incorporated and existing under the laws of the Cayman Islands and a direct, wholly owned subsidiary of Ikena (“Merger Sub I”), Insight Merger Sub II, an exempted company with limited liability incorporated and existing under the laws of the Cayman Islands and a direct, wholly owned subsidiary of Ikena (“Merger Sub II”), and Legacy Inmagene, providing for the merger of Merger Sub I with and into Legacy Inmagene, with Legacy Inmagene surviving as a wholly owned subsidiary of Ikena (such transaction, the “First Merger”), and the subsequent merger of the surviving entity of the First Merger with and into Merger Sub II, with Merger Sub II surviving as a wholly owned subsidiary of Ikena (the “Second Merger” and, together with the First Merger, the “Merger”). In addition, on July 25, 2025, Ikena changed its name from “Ikena Oncology, Inc.” to “ImageneBio, Inc.”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Unless otherwise stated or the context otherwise requires, the references in this Quarterly Report to the “Company,” “we,” “our,” or “us” refer to Inmagene Biopharmaceuticals together with its consolidated subsidiaries for periods prior to the Merger and to ImageneBio, Inc. together with its consolidated subsidiaries for periods following the Merger; references to “Ikena” refer to Ikena Oncology, Inc. for periods prior to the Merger; references to “Legacy Inmagene” refer to Inmagene Biopharmaceuticals together with its consolidated subsidiaries for periods prior to the Merger and references to “common stock” refer to the Company’s common stock for periods following the Merger and to Legacy Inmagene’s ordinary shares for periods prior to the Merger</w:t>
      </w:r>
      <w:r>
        <w:rPr>
          <w:rFonts w:ascii="Times New Roman" w:hAnsi="Times New Roman"/>
          <w:i/>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(this “Quarterly Report”) contains express or implied forward-looking statements which are made pursuant to the safe harbor provisions of Section 27A of the Securities Act of 1933, as amended, and Section 21E of the Securities Exchange Act of 1934, as amended (the “Exchange Act”). These statements involve risks, uncertainties, and other factors that may cause actual results, performance, or achievements to be materially different from the information expressed or implied by these forward-looking statements. All statements, other than statements of historical facts, contained in this Quarterly Report,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 this Quarterly Report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IMG-007, recently named olevaprubart, including as compared to our competitors’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regulatory, political and economic developments beyond our control and the potential impact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raise significant additional capital to proceed with the development and commercialization of olevaprubart and any future product candidates and to fund our continued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and potential of planned or ongoing clinical trials for olevaprubart, including the timing for data readouts;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olevaprubart, including our plans to develop olevaprubart for additional immunological and inflammatory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surrounding the potential safety, efficacy, and regulatory and clinical progress of olevaprubart and anticipated milestones and timing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expectations regarding our current or future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olevaprubart, if approved, the rate and degree of market acceptance of olevaprubart and the favorability of pricing regulations, reimbursement practices from third-party payors or healthcare reform initiatives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identify and validate new product candidates or additional indications for olevaprubart;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use of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our cash runway, expenses, future revenue and capital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internal controls and procedures and our plans and ability to remediate any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and plans regarding legal proceedings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recognize the benefits that may be derived from the Merger, including the commercial or market opportunity of olevaprubart;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our industry or the market opportunities for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political, environmental, economic and public health developments in the United States and foreign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under the caption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undue reliance should not be placed on our forward-looking statements. Actual results or events could differ materially from the plans, intentions and expectations disclosed in the forward-looking statements we make. We have included important factors in the cautionary statements included in this Quarterly Report, particularly in the “Risk Factors” section, which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pStyle w:val="TextBody"/>
        <w:bidi w:val="0"/>
        <w:spacing w:before="240" w:after="283"/>
        <w:jc w:val="left"/>
        <w:rPr>
          <w:rFonts w:ascii="Times New Roman" w:hAnsi="Times New Roman"/>
          <w:sz w:val="20"/>
        </w:rPr>
      </w:pPr>
      <w:r>
        <w:rPr>
          <w:rFonts w:ascii="Times New Roman" w:hAnsi="Times New Roman"/>
          <w:color w:val="000000"/>
          <w:sz w:val="20"/>
        </w:rPr>
        <w:t>In addition, statements indicating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color w:val="32406B"/>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r>
        <w:rPr>
          <w:rFonts w:ascii="Times New Roman" w:hAnsi="Times New Roman"/>
          <w:b/>
          <w:color w:val="000000"/>
          <w:sz w:val="20"/>
        </w:rPr>
        <w:t>Summary of the Material and Other Risks Associated with Our Business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numerous material and other risks and uncertainties to be aware of in evaluating our business.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which may make it difficult to evaluate our current business and predict our future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significant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obtain substantial additional funding to complete the development and any commercialization of olevaprubart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entirely dependent on the success of olevaprubart for the treatment of atopic dermatitis (“AD”) and alopecia areata (“AA”) and for other potential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expensive, time-consuming, difficult to design and implement, and have an uncertain outcome. Further, we may encounter substantial delays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breach our current or future licenses or other intellectual property-related agreements for olevaprubart or any future product candidates or otherwise experience disruptions to our business relationships with our current or future licensors, we could lose the ability to continue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rights to develop and commercialize olevaprubart are subject, in part, to the terms and conditions of licenses granted to us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the manufacture of olevaprubart for development, and expect to continue to do so for the foreseeable future. Our current and anticipated future dependence upon third parties for the manufacture of olevaprubart or any future product candidates increases the risk that we will not have sufficient quantities of olevaprubart or any future product candidates, or such quantities at an acceptable cost, which could delay, prevent or impair our development or commercialization efforts and could impact future profit margins;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from other pharmaceutical and biotechnology companies, and our operating results may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of the United States Food and Drug Administration (“FDA”) and comparable foreign regulatory authorities is lengthy, time-consuming and inherently unpredictable, and even if we complete the necessary clinical trials, we cannot predict when, or if, we will obtain regulatory approval for olevaprubart or any future product candidates, and any such regulatory approval may be for a more narrow indication than we seek;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regulatory approval of olevaprubart or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olevaprubart or any future product candidates or if the scope of the patent protection obtained is not sufficiently broad, we may not be able to compete effectively in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ability to retain our key personnel and to attract, retain and motivate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is expected to be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incur costs and demands upon management as a result of complying with the laws, rules and regulations affecting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future sales of shares of our common stock could adversely affect the market price of such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equity research analysts do not publish research or reports, or publish unfavorable research or reports, about us, our business or our market, our stock price and trading volume could decline;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a material weakness in our internal control over financial reporting. If we fail to remediate this material weakness, or if we identify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material and other risks summarized above should be read together with the text of the full risk factors in the “Risk Factors” section and with the other information set forth in this Quarterly Report, including our condensed consolidated financial statements and the related notes, as well as with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in the “Risk Factors” section, are not the only risks that we face. Additional risks and uncertainties not currently known to us, or that we currently deem to be immaterial may also materially adversely affect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IMAGENEBIO, INC.</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95"/>
        <w:gridCol w:w="746"/>
        <w:gridCol w:w="211"/>
        <w:gridCol w:w="841"/>
        <w:gridCol w:w="166"/>
        <w:gridCol w:w="146"/>
        <w:gridCol w:w="217"/>
        <w:gridCol w:w="871"/>
        <w:gridCol w:w="612"/>
      </w:tblGrid>
      <w:tr>
        <w:trPr/>
        <w:tc>
          <w:tcPr>
            <w:tcW w:w="63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140,288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and other non-current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receivable from related party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CVR liability due to related party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w:t>
              <w:br/>
              <w:t>  and outstanding as of June 30, 2026 and December 31, 2025</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Voting Common Stock, $0.001 par value, 142,000,000 shares authorized; 11,279,130</w:t>
              <w:br/>
              <w:t>  and 10,650,925 shares issued and outstanding as of June 30, 2026</w:t>
              <w:br/>
              <w:t>  and December 31, 2025, respectively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Non-Voting Common Stock, $0.001 par value, 8,000,000 shares authorized; </w:t>
              <w:br/>
              <w:t>  no shares issued and outstanding as of June 30, 2026 and 530,714 shares</w:t>
              <w:br/>
              <w:t>  issued and outstanding as of December 31, 2025</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363,094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(230,053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133,139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IMAGENEBIO, INC.</w:t>
      </w:r>
    </w:p>
    <w:p>
      <w:pPr>
        <w:pStyle w:val="TextBody"/>
        <w:bidi w:val="0"/>
        <w:jc w:val="center"/>
        <w:rPr>
          <w:rFonts w:ascii="Times New Roman" w:hAnsi="Times New Roman"/>
          <w:sz w:val="20"/>
        </w:rPr>
      </w:pPr>
      <w:bookmarkStart w:id="5" w:name="cond_cons_stmt_of_ops_and_comp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211"/>
        <w:gridCol w:w="1036"/>
        <w:gridCol w:w="166"/>
        <w:gridCol w:w="146"/>
        <w:gridCol w:w="211"/>
        <w:gridCol w:w="931"/>
        <w:gridCol w:w="166"/>
        <w:gridCol w:w="146"/>
        <w:gridCol w:w="211"/>
        <w:gridCol w:w="1036"/>
        <w:gridCol w:w="166"/>
        <w:gridCol w:w="146"/>
        <w:gridCol w:w="211"/>
        <w:gridCol w:w="931"/>
        <w:gridCol w:w="591"/>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IMAGENEBIO,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_cons_stmt_of_redeemable_convertible"/>
      <w:bookmarkEnd w:id="6"/>
      <w:r>
        <w:rPr>
          <w:rFonts w:ascii="Times New Roman" w:hAnsi="Times New Roman"/>
          <w:b/>
          <w:color w:val="000000"/>
          <w:sz w:val="20"/>
        </w:rPr>
        <w:t>CONDENSED CONSOLIDATED STATEMENTS OF REDEEMABLE CONVERTIBLE PREFERRED SHARES AND STOCKHOLDERS’ EQUITY (DEFICIT)</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2165" w:type="dxa"/>
        <w:jc w:val="left"/>
        <w:tblInd w:w="0" w:type="dxa"/>
        <w:tblLayout w:type="fixed"/>
        <w:tblCellMar>
          <w:top w:w="28" w:type="dxa"/>
          <w:left w:w="28" w:type="dxa"/>
          <w:bottom w:w="28" w:type="dxa"/>
          <w:right w:w="28" w:type="dxa"/>
        </w:tblCellMar>
      </w:tblPr>
      <w:tblGrid>
        <w:gridCol w:w="1081"/>
        <w:gridCol w:w="146"/>
        <w:gridCol w:w="183"/>
        <w:gridCol w:w="358"/>
        <w:gridCol w:w="146"/>
        <w:gridCol w:w="146"/>
        <w:gridCol w:w="246"/>
        <w:gridCol w:w="385"/>
        <w:gridCol w:w="146"/>
        <w:gridCol w:w="146"/>
        <w:gridCol w:w="146"/>
        <w:gridCol w:w="175"/>
        <w:gridCol w:w="366"/>
        <w:gridCol w:w="146"/>
        <w:gridCol w:w="146"/>
        <w:gridCol w:w="235"/>
        <w:gridCol w:w="396"/>
        <w:gridCol w:w="146"/>
        <w:gridCol w:w="146"/>
        <w:gridCol w:w="146"/>
        <w:gridCol w:w="916"/>
        <w:gridCol w:w="146"/>
        <w:gridCol w:w="146"/>
        <w:gridCol w:w="228"/>
        <w:gridCol w:w="403"/>
        <w:gridCol w:w="146"/>
        <w:gridCol w:w="146"/>
        <w:gridCol w:w="196"/>
        <w:gridCol w:w="691"/>
        <w:gridCol w:w="146"/>
        <w:gridCol w:w="146"/>
        <w:gridCol w:w="339"/>
        <w:gridCol w:w="757"/>
        <w:gridCol w:w="166"/>
        <w:gridCol w:w="146"/>
        <w:gridCol w:w="196"/>
        <w:gridCol w:w="751"/>
        <w:gridCol w:w="166"/>
        <w:gridCol w:w="146"/>
        <w:gridCol w:w="209"/>
        <w:gridCol w:w="737"/>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Issuance of common stock upon exercise </w:t>
              <w:br/>
              <w: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11,279,130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Issuance of pre-funded warrants for the </w:t>
              <w:br/>
              <w:t>  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11,279,130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392,964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142,074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3169" w:type="dxa"/>
        <w:jc w:val="left"/>
        <w:tblInd w:w="0" w:type="dxa"/>
        <w:tblLayout w:type="fixed"/>
        <w:tblCellMar>
          <w:top w:w="28" w:type="dxa"/>
          <w:left w:w="28" w:type="dxa"/>
          <w:bottom w:w="28" w:type="dxa"/>
          <w:right w:w="28" w:type="dxa"/>
        </w:tblCellMar>
      </w:tblPr>
      <w:tblGrid>
        <w:gridCol w:w="1081"/>
        <w:gridCol w:w="146"/>
        <w:gridCol w:w="146"/>
        <w:gridCol w:w="826"/>
        <w:gridCol w:w="146"/>
        <w:gridCol w:w="146"/>
        <w:gridCol w:w="196"/>
        <w:gridCol w:w="691"/>
        <w:gridCol w:w="146"/>
        <w:gridCol w:w="146"/>
        <w:gridCol w:w="146"/>
        <w:gridCol w:w="146"/>
        <w:gridCol w:w="691"/>
        <w:gridCol w:w="146"/>
        <w:gridCol w:w="146"/>
        <w:gridCol w:w="196"/>
        <w:gridCol w:w="601"/>
        <w:gridCol w:w="146"/>
        <w:gridCol w:w="146"/>
        <w:gridCol w:w="146"/>
        <w:gridCol w:w="826"/>
        <w:gridCol w:w="146"/>
        <w:gridCol w:w="146"/>
        <w:gridCol w:w="228"/>
        <w:gridCol w:w="403"/>
        <w:gridCol w:w="146"/>
        <w:gridCol w:w="146"/>
        <w:gridCol w:w="207"/>
        <w:gridCol w:w="604"/>
        <w:gridCol w:w="166"/>
        <w:gridCol w:w="146"/>
        <w:gridCol w:w="279"/>
        <w:gridCol w:w="817"/>
        <w:gridCol w:w="166"/>
        <w:gridCol w:w="146"/>
        <w:gridCol w:w="196"/>
        <w:gridCol w:w="751"/>
        <w:gridCol w:w="166"/>
        <w:gridCol w:w="146"/>
        <w:gridCol w:w="196"/>
        <w:gridCol w:w="75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1,409,884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upon exercise</w:t>
              <w:br/>
              <w: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Accretion of Redeemable Convertible</w:t>
              <w:br/>
              <w:t>  Preferred Shares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Accretion of Redeemable Convertible </w:t>
              <w:br/>
              <w:t>  Preferred Shares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2,163,434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IMAGENEBIO, INC.</w:t>
      </w:r>
    </w:p>
    <w:p>
      <w:pPr>
        <w:pStyle w:val="TextBody"/>
        <w:bidi w:val="0"/>
        <w:jc w:val="center"/>
        <w:rPr>
          <w:rFonts w:ascii="Times New Roman" w:hAnsi="Times New Roman"/>
          <w:sz w:val="20"/>
        </w:rPr>
      </w:pPr>
      <w:bookmarkStart w:id="7" w:name="cond_cons_stmt_of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736"/>
        <w:gridCol w:w="166"/>
        <w:gridCol w:w="146"/>
        <w:gridCol w:w="211"/>
        <w:gridCol w:w="736"/>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Accretion of discounts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Deposits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pre-funded warrants to purchase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issuance costs in connection with 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right-of-use asset and lease liabilities due to contract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redeemable convertible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offering costs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IMAGENEBIO, INC.</w:t>
      </w:r>
    </w:p>
    <w:p>
      <w:pPr>
        <w:pStyle w:val="TextBody"/>
        <w:bidi w:val="0"/>
        <w:jc w:val="center"/>
        <w:rPr>
          <w:rFonts w:ascii="Times New Roman" w:hAnsi="Times New Roman"/>
          <w:sz w:val="20"/>
        </w:rPr>
      </w:pPr>
      <w:bookmarkStart w:id="8" w:name="notes_to_cond_cons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Nature of Business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ImageneBio, Inc. (collectively, with its consolidated subsidiaries, the “Company”) is a clinical-stage biopharmaceutical company developing therapeutics for patients with immunological, autoimmune and inflammatory diseases. The Company’s program IMG-007, recently named olevaprubart, is a non-depleting anti-OX40 monoclonal antibody (“mAb”) which binds specifically to OX40 receptor on activated T cells to block their binding to OX40 ligand (“OX40L”).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reliance on single-source suppliers, patentability of the Company’s product candidate and processes and clinical efficacy and safety of the Company’s product candidate, compliance with government regulations and the need to obtain additional financing to fund operations. Olevaprubart or any product candidate the Company may develop will require significant additional research and development efforts, including extensive clinical trials, and regulatory approval, prior to commercialization. These efforts will require significant amounts of additional capital, adequate personnel infrastructure and extensive compliance and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any future research and development will be successfully completed, that adequate protection for the Company’s intellectual property will be obtained or maintained, that any product candidate developed will obtain necessary government regulatory approval or that any approved products will be commercially viable. Even if any future product development efforts are successful, it is uncertain when, if ever, the Company will generate revenue from product sales. The Company operates in an environment of rapid technological change and substantial competition from other pharmaceutical and biotechnology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the Company and its wholly-owned subsidiaries. All intercompany accounts and transactions have been eliminated in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condensed consolidated financial statements have been prepared in conformity with accounting principles generally accepted in the United States of America (“GAAP”) and in accordance with the rules and regulations of the U.S. Securities and Exchange Commission (the “SEC”) for Quarterly Reports on Form 10-Q. The accompanying condensed consolidated financial statements as of June 30, 2026 and for the three and six months ended June 30, 2026 and 2025, are unaudited. The condensed consolidated balance sheet as of December 31, 2025 was derived from the audited financial statements as of and for the year ended December 31, 2025, but does not include all disclosures required by GAAP. The unaudited interim condensed consolidated financial statements have been prepared on a basis consistent with the audited annual financial statements as of and for the year ended December 31, 2025, and, in the opinion of management, reflect all adjustments, consisting solely of normal recurring adjustments, necessary for the fair statement of the Company’s financial position as of June 30, 2026, the condensed results of its operations for the three and six months ended June 30, 2026 and 2025, and its cash flows for the six months ended June 30, 2026 and 2025. The financial data and other information disclosed in these notes related to the three and six months ended June 30, 2026 and 2025 are also unaudited. The condensed results of operations for the three and six months ended June 30, 2026 are not necessarily indicative of the results to be expected for the full year ending December 31, 2026 or any other period. These unaudited interim condensed consolidated financial statements should be read in conjunction with the Company’s audited consolidated financial statements included in the Company’s Annual Report on Form 10-K on file with the SEC. Certain amounts in the three and six months ended June 30, 2025 have been reclassified to conform to the year ended December 31, 2025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the Accounting Standards Codification (“ASC”) and Accounting Standards Update (“ASU”) of the Financial Accounting Standards Board (“FASB”).</w:t>
      </w:r>
    </w:p>
    <w:p>
      <w:pPr>
        <w:pStyle w:val="TextBody"/>
        <w:bidi w:val="0"/>
        <w:spacing w:before="240" w:after="283"/>
        <w:jc w:val="left"/>
        <w:rPr>
          <w:rFonts w:ascii="Times New Roman" w:hAnsi="Times New Roman"/>
          <w:sz w:val="20"/>
        </w:rPr>
      </w:pPr>
      <w:r>
        <w:rPr>
          <w:rFonts w:ascii="Times New Roman" w:hAnsi="Times New Roman"/>
          <w:b/>
          <w:i/>
          <w:color w:val="000000"/>
          <w:sz w:val="20"/>
        </w:rPr>
        <w:t>The Merger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25, 2025 (the “Closing Date”), the Delaware corporation formerly known as “Ikena Oncology, Inc.” (“Ikena”) completed its previously announced merger with Inmagene Biopharmaceuticals, a privately held exempted company with limited liability incorporated and existing under the laws of the Cayman Islands (“Legacy Inmagene”). The transaction was completed in accordance with the terms of the Agreement and Plan of Merger, dated as of December 23, 2024 (the “Merger Agreement”), by and among Ikena, Insight Merger Sub I, an exempted company with limited liability incorporated and existing under the laws of the Cayman Islands and a direct, wholly owned subsidiary of Ikena (“Merger Sub I”), Insight Merger Sub II, an exempted company with limited liability incorporated and existing under the laws of the Cayman Islands and a direct, wholly owned subsidiary of Ikena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(“Merger Sub II”), and Legacy Inmagene, providing for the merger of Merger Sub I with and into Legacy Inmagene, with Legacy Inmagene surviving as a wholly owned subsidiary of Ikena (such transaction, the “First Merger”), and the subsequent merger of the surviving entity of the First Merger with and into Merger Sub II, with Merger Sub II surviving as a wholly owned subsidiary of Ikena (the “Second Merger” and, together with the First Merger, the “Merger”). In addition, on July 25, 2025, Ikena changed its name from “Ikena Oncology, Inc.” to “ImageneBio,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effective time of the First Merger (the “First Effective Time”), Ikena effected a 1-for-12 reverse stock split (the “Reverse Stock Split”) of its issued common stock (“Ikena Common Stock”). At the First Effective Time, (i) each ordinary share and preferred share of Legacy Inmagene (each such share, a “Legacy Inmagene Share”) held as treasury shares immediately prior to the First Effective Time were canceled and ceased to exist, and no consideration was delivered in exchange therefor, (ii) each then-outstanding Legacy Inmagene Share was converted into the right to receive 0.0030510 shares of Ikena Common Stock (such ratio, the “Exchange Ratio”) and (iii) each then-outstanding option to purchase Legacy Inmagene Shares was converted into an option to purchase Ikena Common Stock, subject to adjustment as set forth in the Merger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references to common stock, options to purchase common stock, common stock share data, per share data, preferred shares and related information contained in these condensed consolidated financial statements have been retrospectively adjusted to reflect the effect of the Exchange Ratio for all periods presented, including the change from ordinary shares to common stock, unless otherwise specifically indicated or the context otherwise requires.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Merger was accounted for as a reverse recapitalization in accordance with GAAP. The Company determined that Legacy Inmagene was the accounting acquirer and Ikena was the accounting acquiree of the Merger in accordance with ASC Topic 805. Management concluded that Legacy Inmagene was the accounting acquirer primarily due to: (i) the Legacy Inmagene stockholders receiving the largest portion of the voting rights in the Company following the First Merger, (ii) Legacy Inmagene’s largest shareholder retained the largest interest in the Company, (iii) Legacy Inmagene designated three of the six members to the Company’s board of directors on the closing of the Merger, and (iv) certain members of Legacy Inmagene’s executive management team became the management of the Company. The condensed consolidated financial statements of the Company reflect the historical operations of Legacy Inmagene for accounting purposes together with the issuance of shares to the former stockholders of Ikena, the legal acquirer, and a recapitalization of the equity of Legacy Inmagene, the accounting acquirer.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stated or the context otherwise requires, the references in these condensed consolidated financial statements to the “Company,” refer to Legacy Inmagene together with its consolidated subsidiaries for periods prior to the Merger and to ImageneBio, Inc. together with its consolidated subsidiaries for periods following the Merger; references to “Ikena” refer to Ikena Oncology, Inc. for periods prior to the Merger; references to “Legacy Inmagene” refer to Inmagene Biopharmaceuticals together with its consolidated subsidiaries for periods prior to the Merger; and references to “common stock” include the Company’s common stock for periods following the Merger and to Legacy Inmagene’s ordinary shares for periods prior to the Merger.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Concurrently with the execution of the Merger Agreement, Ikena entered into subscription agreements with certain accredited investors (the “2025 PIPE Investors”), pursuant to which, immediately following the closing of the Second Merger, the 2025 PIPE Investors subscribed for and purchased, and Ikena issued and sold, an aggregate of 2,508,337 shares of common stock in a private placement at a price of $29.90 per share for aggregate gross proceeds of $75.0 million (the “2025 PIPE Financing”).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CVR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First Effective Time, Ikena and the designated rights agent entered into a Contingent Value Rights Agreement (the “Ikena CVR Agreement”), pursuant to which Ikena stockholders of record as of the close of business on July 24, 2025 received one contingent value right (each, an “Ikena CVR”) for each outstanding share of Ikena Common Stock held by such stockholder on such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Ikena CVR Agreement, each Ikena CVR holder will be entitled to certain rights to receive (i) 100% of the net proceeds, if any, received by the Company as a result of contingent payments (“Ikena CVR Payments”) made to the Company, such as milestone, royalty or earnout payments, received under any disposition agreements related to Ikena’s pre-Merger assets, including but not limited to IK-595 (the “Ikena CVR Assets”), including pursuant to any out-license agreements, entered into prior to the Closing Date and (ii) 90% of the net proceeds, if any, received by the Company as a result of Ikena CVR Payments received under any disposition agreements related to the Ikena CVR Assets entered into after the Closing Date and prior to the first anniversary of the Closing Date (the “Disposition Period”). Such proceeds are subject to certain permitted deductions, including for applicable tax payments, certain expenses incurred by the Company or its affiliates, and losses incurred or reasonably expected to be incurred by the Company or its affiliates due to a third-party proceeding in connection with a disposition and certain wind-down costs. The Company has not entered into any transactions subject to the Ikena CVR Agreement. No estimated value has been attributed to the agreement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First Effective Time, Ikena, Legacy Inmagene and the designated rights agent entered into a Contingent Value Rights Agreement (the “Legacy Inmagene CVR Agreement”), pursuant to which Legacy Inmagene’s shareholders of record as of immediately prior to the First Effective Time received one contingent value right (each, a “Legacy Inmagene CVR”) for each outstanding Legacy Inmagene Share held by such shareholder on such date. Pursuant to the Legacy Inmagene CVR Agreement, each Legacy Inmagene CVR holder will be entitled to certain rights to receive (i) 100% of the net proceeds, if any, received by the Company as a result of contingent payments (“Legacy Inmagene CVR Payments”) made to the Company under any disposition agreement related to the programs and projects controlled by Legacy Inmagene any time prior to the Closing Date (other than its anti-OX40 monoclonal antibody asset, olevaprubart) (the “Legacy Inmagene CVR Assets”), which agreement is entered into prior to the Closing Date and (ii) 90% of the net proceeds, if any, received by the Company as a result of Legacy Inmagene CVR Payments received under any disposition agreement related to the Legacy Inmagene CVR Assets entered into during the Disposition Period. Such proceeds are subject to certain permitted deductions, including for applicable tax payments, certain expenses incurred by the Company or its affiliates, and losses incurred or reasonably expected to be incurred by the Company or its affiliates due to a third-party proceeding in connection with a disposition.</w:t>
      </w:r>
    </w:p>
    <w:p>
      <w:pPr>
        <w:pStyle w:val="TextBody"/>
        <w:bidi w:val="0"/>
        <w:spacing w:before="240" w:after="283"/>
        <w:jc w:val="left"/>
        <w:rPr>
          <w:rFonts w:ascii="Times New Roman" w:hAnsi="Times New Roman"/>
          <w:sz w:val="20"/>
        </w:rPr>
      </w:pPr>
      <w:r>
        <w:rPr>
          <w:rFonts w:ascii="Times New Roman" w:hAnsi="Times New Roman"/>
          <w:b/>
          <w:i/>
          <w:color w:val="000000"/>
          <w:sz w:val="20"/>
        </w:rPr>
        <w:t>Non-OX40 Divestiture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25, 2025, immediately prior to consummation of the Merger, Legacy Inmagene completed the divestiture of the non-IMG-007 business related assets, business and operations (the “Non-OX40 Business”) controlled by Legacy Inmagene immediately prior to the Merger (the “Non-OX40 Divestiture”). Specifically, Legacy Inmagene sold and transferred (including via sublicense) all of the Non-OX40 Business to Miragene Inc., a newly formed private company and wholly owned subsidiary of Legacy Inmagene (“Miragene”).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Non-OX40 Divestiture, Miragene Co, a newly formed private company (“BuyCo”), held by the holders of Legacy Inmagene’s outstanding shares prior to the Merger, purchased from Legacy Inmagene all of the outstanding share capital of Miragene (holding the Non-OX40 Business) in exchange for a promissory note in the amount of $8.9 million issued by BuyCo to Legacy Inmagene (the “Promissory Note”). BuyCo has been identified as a related party to the Company as there are shareholders in common and the Miragene CEO is a member of the Company's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Non-OX40 Divestiture, IMG-007, a non-depleting anti-OX40 monoclonal antibody, for the treatment of atopic dermatitis and other potential indications, became the only product candidate of the Company in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Non-OX40 Divestiture resulted in Legacy Inmagene’s recognition of $1.5 million within additional paid-in capital, comprised of ($5.2) million in net assets, consisting of $5.2 million in cash transferred to BuyCo for outstanding liabilities associated with the Non-OX40 Business and other insignificant operating assets and liabilities, offset by the initial fair value of the promissory note of $6.7 million during 2025. The Non-OX40 Divestiture represents a transaction between entities with a high degree of common ownership, and therefore, was accounted for like a common control transaction. Accordingly, the assets and liabilities transferred were derecognized at their historical carrying values, and the estimated fair value of the promissory note receivable was recognized, with any difference recorded in equity. No gain or loss was recognized in the consolidated statements of operations and comprehensive loss in connection with this transaction. In addition, the initial estimated fair value of the corresponding Legacy Inmagene CVR liability was recorded as a dividend to the Legacy Inmagene shareholders within equity, with the related payable recorded on the Company's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Transition Services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Non-OX40 Divestiture, the Company entered into a Transition Services Agreement (the “Transition Services Agreement”) with Miragene for the provision by Miragene of certain transitional services related to the ongoing operations of the Company’s business with respect to the IMG-007 program (see Note 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14, 2026, the Company entered into a Securities Purchase Agreement (the “Purchase Agreement”) with certain institutional and accredited investors (the “Investors”), including existing investors, pursuant to which the Company issued and sold pre-funded warrants to purchase up to 5,770,335 shares of voting common stock (the “Warrant Shares”) at $0.001 per share, in a private placement transaction (the “Private Placement”) at a purchase price of $5.199 per Warrant Share to the Investors for gross proceeds of $30.0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that the Company will continue as a going concern, which contemplates the realization of assets and satisfaction of liabilities in the normal course of business. The Company expects to continue to incur losses as it invests in research and development activities to advance its existing and potential future research programs and incurs ongoing costs associated with operating as a public company. Even if the Company’s development efforts are successful, it is uncertain when, if ever, the Company will realize significant revenue from product sales. If the Company obtains regulatory approval for its product candidate or any future product candidates and starts to generate revenue, it expects to incur significant expenses related to developing its internal commercialization capability to support product sales, marketing, and distribution. The Company incurred a net loss of $20.8 million for the six months ended June 30, 2026 and has an accumulated deficit of $250.9 million as of June 30, 2026. The Company believes its existing cash, cash equivalents and marketable securities of $136.2 million as of June 30, 2026 are sufficient to support operations through at least the next 12 months from the date of issuance of these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need substantial additional funding to support its operating activities as it advances its product candidate or any future product candidates through development, seeks regulatory approval and prepares for and, if its product candidate or any future product candidates are approved, proceeds to commercialization. Until such time as the Company can generate significant revenue from product sales, if ever, the Company expects to finance its operating activities through a combination of equity offerings, debt financings and license and collaboration agreements. Adequate funding may not be available to the Company on acceptable terms, or at all.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condensed consolidated financial statements in conformity with GAAP requires management to make estimates and assumptions that affect the amounts reported in the condensed consolidated financial statements and accompanying notes. Significant estimates and assumptions reflected in these condensed consolidated financial statements include, but are not limited to, accrued research and development expenses, stock-based compensation and the fair value of the Promissory Note receivable and related CVR liability. The Company bases its estimates on historical experience, known trends and other factors that it believes to be reasonable under the circumstances. On an ongoing basis, management evaluates its estimates as there are changes in facts, circumstances, and experience. Changes in estimates are recorded in the period in which they become known. Actual results may differ from those estimates or assumptions. </w:t>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jc w:val="left"/>
        <w:rPr>
          <w:rFonts w:ascii="Times New Roman" w:hAnsi="Times New Roman"/>
          <w:sz w:val="20"/>
        </w:rPr>
      </w:pPr>
      <w:r>
        <w:rPr>
          <w:rFonts w:ascii="Times New Roman" w:hAnsi="Times New Roman"/>
          <w:color w:val="000000"/>
          <w:sz w:val="20"/>
        </w:rPr>
        <w:t xml:space="preserve">On July 30, 2025, the FASB issued ASU No. 2025-05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which provides guidance for estimating credit losses under the current expected credit losses (CECL) model for current accounts receivable and current contract assets arising from transactions accounted for under ASC 606. The guidance is effective for periods beginning after December 15, 2025 and is required to be adopted prospectively. The Company adopted ASU No. 2025-05 during the first quarter of 2026 and the adoption did not have a material impact on its condensed consolidated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w:t>
      </w:r>
      <w:r>
        <w:rPr>
          <w:rFonts w:ascii="Times New Roman" w:hAnsi="Times New Roman"/>
          <w:color w:val="000000"/>
          <w:sz w:val="20"/>
        </w:rPr>
        <w:t xml:space="preserve">and provided a clarifying update in January 2025. The amendments increase disclosure requirements primarily through enhanced disclosures about types of expenses (including purchases of inventory, employee compensation, depreciation, and amortization) in commonly presented expense captions. The ASU is effective for fiscal years beginning after December 15, 2026, and interim periods beginning after December 15, 2027, and is required to be applied prospectively with the option for retrospective application. Early adoption is permitted. The Company is currently evaluating the impact that this guidance will have on the disclosures on its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Reverse Recapitalization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was accounted for as a reverse recapitalization in accordance with GAAP. At the effective time of the Merger, the assets of Ikena primarily consisted of cash and cash equivalents, marketable securities, as well as other nominal assets, including prepaid expenses and other current assets, operating lease right-of-use assets, and other non-current assets. Ikena did not have significant operating activities immediately prior to the closing of the Merger. Under such reverse recapitalization accounting, the assets and liabilities of Ikena were recorded at their fair value in the Company’s financial statements at the effective time of the reverse recapitalization, which approximated carrying value. No goodwill or intangible assets were recognized as a result of the reverse recapitalization.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July 25, 2025, Legacy Inmagene acquired the assets and assumed the liabilities listed below as part of the reverse recapitalization (in thousands):</w:t>
      </w:r>
    </w:p>
    <w:tbl>
      <w:tblPr>
        <w:tblW w:w="5284" w:type="dxa"/>
        <w:jc w:val="left"/>
        <w:tblInd w:w="0" w:type="dxa"/>
        <w:tblLayout w:type="fixed"/>
        <w:tblCellMar>
          <w:top w:w="28" w:type="dxa"/>
          <w:left w:w="28" w:type="dxa"/>
          <w:bottom w:w="28" w:type="dxa"/>
          <w:right w:w="28" w:type="dxa"/>
        </w:tblCellMar>
      </w:tblPr>
      <w:tblGrid>
        <w:gridCol w:w="3826"/>
        <w:gridCol w:w="211"/>
        <w:gridCol w:w="736"/>
        <w:gridCol w:w="511"/>
      </w:tblGrid>
      <w:tr>
        <w:trPr/>
        <w:tc>
          <w:tcPr>
            <w:tcW w:w="3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and non-current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assets acquired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Legacy Inmagene incurred transaction costs related to the reverse recapitalization of $9.3 million. This amount was recorded as a reduction to additional paid-in capital during the third quarter of 2025.</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utilized to determine such fair values (in thousands):</w:t>
      </w:r>
    </w:p>
    <w:tbl>
      <w:tblPr>
        <w:tblW w:w="7277" w:type="dxa"/>
        <w:jc w:val="left"/>
        <w:tblInd w:w="0" w:type="dxa"/>
        <w:tblLayout w:type="fixed"/>
        <w:tblCellMar>
          <w:top w:w="28" w:type="dxa"/>
          <w:left w:w="28" w:type="dxa"/>
          <w:bottom w:w="28" w:type="dxa"/>
          <w:right w:w="28" w:type="dxa"/>
        </w:tblCellMar>
      </w:tblPr>
      <w:tblGrid>
        <w:gridCol w:w="2021"/>
        <w:gridCol w:w="246"/>
        <w:gridCol w:w="211"/>
        <w:gridCol w:w="676"/>
        <w:gridCol w:w="146"/>
        <w:gridCol w:w="146"/>
        <w:gridCol w:w="211"/>
        <w:gridCol w:w="676"/>
        <w:gridCol w:w="146"/>
        <w:gridCol w:w="146"/>
        <w:gridCol w:w="211"/>
        <w:gridCol w:w="571"/>
        <w:gridCol w:w="146"/>
        <w:gridCol w:w="146"/>
        <w:gridCol w:w="211"/>
        <w:gridCol w:w="676"/>
        <w:gridCol w:w="691"/>
      </w:tblGrid>
      <w:tr>
        <w:trPr/>
        <w:tc>
          <w:tcPr>
            <w:tcW w:w="20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 Using:</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Promissory note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79,637</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CVR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277" w:type="dxa"/>
        <w:jc w:val="left"/>
        <w:tblInd w:w="0" w:type="dxa"/>
        <w:tblLayout w:type="fixed"/>
        <w:tblCellMar>
          <w:top w:w="28" w:type="dxa"/>
          <w:left w:w="28" w:type="dxa"/>
          <w:bottom w:w="28" w:type="dxa"/>
          <w:right w:w="28" w:type="dxa"/>
        </w:tblCellMar>
      </w:tblPr>
      <w:tblGrid>
        <w:gridCol w:w="2021"/>
        <w:gridCol w:w="246"/>
        <w:gridCol w:w="211"/>
        <w:gridCol w:w="676"/>
        <w:gridCol w:w="146"/>
        <w:gridCol w:w="146"/>
        <w:gridCol w:w="211"/>
        <w:gridCol w:w="676"/>
        <w:gridCol w:w="146"/>
        <w:gridCol w:w="146"/>
        <w:gridCol w:w="211"/>
        <w:gridCol w:w="571"/>
        <w:gridCol w:w="146"/>
        <w:gridCol w:w="146"/>
        <w:gridCol w:w="211"/>
        <w:gridCol w:w="676"/>
        <w:gridCol w:w="691"/>
      </w:tblGrid>
      <w:tr>
        <w:trPr/>
        <w:tc>
          <w:tcPr>
            <w:tcW w:w="20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 Using:</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Promissory note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82,805</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CVR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Money market funds are valued based on quoted market prices, representing a Level 1 measurement within the fair value hierarchy. Corporate debt securities are valued using a market approach based on prices and other relevant information generated by market transactions involving similar instruments. Valuations are obtained from third-party pricing services, which use observable inputs including benchmark yields, reported trades, broker quotes, benchmark securities, and other market-related data. As the valuations are based on observable market inputs for similar instruments, rather than quoted prices for identical instruments in active markets, these securities are classified as Level 2 within the fair value hierarchy.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elected the fair value option and accordingly recorded the Promissory Note receivable at fair value at inception date (July 25, 2025) and each period end, with changes recorded within other income (expense) in the consolidated statements of operations and comprehensive loss. The Company believes the fair value option best reflects the economics of the underlying transaction. The Company’s Promissory Note receivable is valued on a recurring basis using a probability weighted expected future payout discounted by applicable market yield of 26.1% and 15.2% as of June 30, 2026 and December 31, 2025, respectively, which are Level 3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a corresponding CVR liability in connection with the Promissory Note receivable, with the carrying amount equal to the fair value at inception and each period end, with changes recorded within other income (expense) in the consolidated statements of operations and comprehensive loss. The CVR liability and the Promissory Note have offsetting adjustments resulting from the change of their respective fair values as any payments received by the Company under the Promissory Note from BuyCo will be distributed to Legacy Inmagene CVR holders as Legacy Inmagene CVR Payments. No cash payments were made for the Promissory Note receivable or the corresponding CVR liability for the periods presented.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changes in fair value of the Promissory Note receivable and the corresponding CVR liability during the three and six months ended June 30, 2026 (in thousands):</w:t>
      </w:r>
    </w:p>
    <w:tbl>
      <w:tblPr>
        <w:tblW w:w="5820" w:type="dxa"/>
        <w:jc w:val="left"/>
        <w:tblInd w:w="0" w:type="dxa"/>
        <w:tblLayout w:type="fixed"/>
        <w:tblCellMar>
          <w:top w:w="28" w:type="dxa"/>
          <w:left w:w="28" w:type="dxa"/>
          <w:bottom w:w="28" w:type="dxa"/>
          <w:right w:w="28" w:type="dxa"/>
        </w:tblCellMar>
      </w:tblPr>
      <w:tblGrid>
        <w:gridCol w:w="2671"/>
        <w:gridCol w:w="146"/>
        <w:gridCol w:w="319"/>
        <w:gridCol w:w="956"/>
        <w:gridCol w:w="166"/>
        <w:gridCol w:w="146"/>
        <w:gridCol w:w="282"/>
        <w:gridCol w:w="843"/>
        <w:gridCol w:w="2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71"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Promissory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CVR Liability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there were no transfers into or out of Level 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Marketable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tables summarize the Company’s available-for-sale securities (in thousands): </w:t>
      </w:r>
    </w:p>
    <w:tbl>
      <w:tblPr>
        <w:tblW w:w="8030" w:type="dxa"/>
        <w:jc w:val="left"/>
        <w:tblInd w:w="0" w:type="dxa"/>
        <w:tblLayout w:type="fixed"/>
        <w:tblCellMar>
          <w:top w:w="28" w:type="dxa"/>
          <w:left w:w="28" w:type="dxa"/>
          <w:bottom w:w="28" w:type="dxa"/>
          <w:right w:w="28" w:type="dxa"/>
        </w:tblCellMar>
      </w:tblPr>
      <w:tblGrid>
        <w:gridCol w:w="2711"/>
        <w:gridCol w:w="286"/>
        <w:gridCol w:w="211"/>
        <w:gridCol w:w="676"/>
        <w:gridCol w:w="146"/>
        <w:gridCol w:w="146"/>
        <w:gridCol w:w="354"/>
        <w:gridCol w:w="532"/>
        <w:gridCol w:w="146"/>
        <w:gridCol w:w="146"/>
        <w:gridCol w:w="318"/>
        <w:gridCol w:w="568"/>
        <w:gridCol w:w="166"/>
        <w:gridCol w:w="146"/>
        <w:gridCol w:w="211"/>
        <w:gridCol w:w="676"/>
        <w:gridCol w:w="591"/>
      </w:tblGrid>
      <w:tr>
        <w:trPr/>
        <w:tc>
          <w:tcPr>
            <w:tcW w:w="27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030" w:type="dxa"/>
        <w:jc w:val="left"/>
        <w:tblInd w:w="0" w:type="dxa"/>
        <w:tblLayout w:type="fixed"/>
        <w:tblCellMar>
          <w:top w:w="28" w:type="dxa"/>
          <w:left w:w="28" w:type="dxa"/>
          <w:bottom w:w="28" w:type="dxa"/>
          <w:right w:w="28" w:type="dxa"/>
        </w:tblCellMar>
      </w:tblPr>
      <w:tblGrid>
        <w:gridCol w:w="2711"/>
        <w:gridCol w:w="286"/>
        <w:gridCol w:w="211"/>
        <w:gridCol w:w="676"/>
        <w:gridCol w:w="146"/>
        <w:gridCol w:w="146"/>
        <w:gridCol w:w="354"/>
        <w:gridCol w:w="532"/>
        <w:gridCol w:w="146"/>
        <w:gridCol w:w="146"/>
        <w:gridCol w:w="387"/>
        <w:gridCol w:w="499"/>
        <w:gridCol w:w="166"/>
        <w:gridCol w:w="146"/>
        <w:gridCol w:w="211"/>
        <w:gridCol w:w="676"/>
        <w:gridCol w:w="591"/>
      </w:tblGrid>
      <w:tr>
        <w:trPr/>
        <w:tc>
          <w:tcPr>
            <w:tcW w:w="27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provides the maturity of the Company's available-for sale securities as of June 30, 2026 (in thousands): </w:t>
      </w:r>
    </w:p>
    <w:tbl>
      <w:tblPr>
        <w:tblW w:w="5852" w:type="dxa"/>
        <w:jc w:val="left"/>
        <w:tblInd w:w="0" w:type="dxa"/>
        <w:tblLayout w:type="fixed"/>
        <w:tblCellMar>
          <w:top w:w="28" w:type="dxa"/>
          <w:left w:w="28" w:type="dxa"/>
          <w:bottom w:w="28" w:type="dxa"/>
          <w:right w:w="28" w:type="dxa"/>
        </w:tblCellMar>
      </w:tblPr>
      <w:tblGrid>
        <w:gridCol w:w="3091"/>
        <w:gridCol w:w="146"/>
        <w:gridCol w:w="296"/>
        <w:gridCol w:w="949"/>
        <w:gridCol w:w="146"/>
        <w:gridCol w:w="146"/>
        <w:gridCol w:w="211"/>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Balance Sheet Components</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7247" w:type="dxa"/>
        <w:jc w:val="left"/>
        <w:tblInd w:w="0" w:type="dxa"/>
        <w:tblLayout w:type="fixed"/>
        <w:tblCellMar>
          <w:top w:w="28" w:type="dxa"/>
          <w:left w:w="28" w:type="dxa"/>
          <w:bottom w:w="28" w:type="dxa"/>
          <w:right w:w="28" w:type="dxa"/>
        </w:tblCellMar>
      </w:tblPr>
      <w:tblGrid>
        <w:gridCol w:w="4441"/>
        <w:gridCol w:w="246"/>
        <w:gridCol w:w="211"/>
        <w:gridCol w:w="571"/>
        <w:gridCol w:w="146"/>
        <w:gridCol w:w="146"/>
        <w:gridCol w:w="294"/>
        <w:gridCol w:w="801"/>
        <w:gridCol w:w="391"/>
      </w:tblGrid>
      <w:tr>
        <w:trPr/>
        <w:tc>
          <w:tcPr>
            <w:tcW w:w="44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financing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Deposits and Other Non-Current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Deposits and other non-current assets primarily include deposits related to clinical trials of $6.6 million and $3.2 million as of June 30,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Non-Current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non-current liabilities primarily include liabilities related to uncertain tax positions of $0.8 million as of June 30, 2026 and December 31, 2025.</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Promissory Note Receivable and CVR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 1, as part of the Non-OX40 Divestiture in 2025, BuyCo issued a Promissory Note to Legacy Inmagene in the amount of $8.9 million. The Promissory Note accrues interest at an annual rate of 4.61%, with interest payments due monthly in arrears, unless BuyCo elects to capitalize the interest through payment-in-kind (“PIK”) treatment during the term of the Promissory Note. No interest was received pursuant to the Promissory Note Receivable through June 30, 2026. The Promissory Note matures on the earlier of (i) the year 2035 or (ii) the date on which Legacy Inmagene declares the Promissory Note due and payable on or after the occurrence of an event of default. Additionally, in the event that BuyCo receives certain specified milestone or license payments, after the second anniversary of the Promissory Note, 50% of such proceeds must be used to prepay the outstanding balance of the Promissory Note. Any payments received by the Company under the Promissory Note from BuyCo will be distributed to Legacy Inmagene CVR holders as Legacy Inmagene CVR Payments. The Promissory Note receivable is recorded at fair value at each period end (see Note 4). </w:t>
      </w:r>
    </w:p>
    <w:p>
      <w:pPr>
        <w:pStyle w:val="TextBody"/>
        <w:bidi w:val="0"/>
        <w:spacing w:before="240" w:after="283"/>
        <w:jc w:val="left"/>
        <w:rPr>
          <w:rFonts w:ascii="Times New Roman" w:hAnsi="Times New Roman"/>
          <w:sz w:val="20"/>
        </w:rPr>
      </w:pPr>
      <w:r>
        <w:rPr>
          <w:rFonts w:ascii="Times New Roman" w:hAnsi="Times New Roman"/>
          <w:b/>
          <w:i/>
          <w:color w:val="000000"/>
          <w:sz w:val="20"/>
        </w:rPr>
        <w:t>Transition Services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Non-OX40 Divestiture, the Company entered into the Transition Services Agreement on July 25, 2025 with Miragene for the provision by Miragene of certain transitional services related to the ongoing operations of the Company’s business with respect to the IMG-007 program, which may include services related to chemistry, manufacturing and controls, regulatory affairs, clinical trial support and operations, translational science research and support, bioanalysis, pharmacovigilance (collectively, the “Miragene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term of the Transition Services Agreement was six months (the “Initial Term”), with an automatic six-month renewal provision unless written notice was provided. In addition, the Company could extend the Initial Term with respect to any or all of the Miragene Services for up to an additional 12 months upon 60 days’ written notice prior to the end of the Initial Term. The Transition Services Agreement could have been terminated after the Initial Term by either party upon 60 days’ prior written notice or by Miragene after the completion by the Company of the sale or other disposition of any portion of the Company’s business, assets or properties constituting all or a majority of the IMG-007 Business (as defined in the Transition Services Agreement). On October 23, 2025, the Company provided written notice to Miragene of its election to (i) not have the Transition Services Agreement automatically renew and (ii) extend the term for an additional six months following the end of the initial term for a subset of the Miragene Services, including services related to chemistry, manufacturing and controls, translational sciences research and support. On July 25, 2026, the Transition Services Agreement terminated according to its terms.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2026, the Company recorded research and development expense of $0.1 million and general and administrative expense of less than $0.1 million in the condensed consolidated statements of operations and comprehensive loss for services under the Transition Services Agreement. During the six months ended June 30, 2026, the Company recorded research and development expense of $0.3 million and general and administrative expense of $0.1 million in the condensed consolidated statements of operations and comprehensive loss and paid $0.2 million to Miragene for services under the Transition Services Agreement. As of June 30, 2026 and December 31, 2025, the Company had prepaid expenses of less than $0.1 million and $0.2 million, respectively, related to prepayments made under the Transition Services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Reimbursement of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July 25, 2025, the Company received reimbursement of expenses incurred for agreed upon research and development activities from a related party, where one of the Company’s board members is a partner. During the three and six months ended June 30, 2026, the Company recorded less than $0.1 million as an offset to research and development expenses in the condensed consolidated statements of operations and comprehensive loss. The Company received cash of $0.6 million for the six months ended June 30, 2026 and, as of June 30, 2026, no amounts were due. As of December 31, 2025, $0.5 million was included as a receivable in prepaid expenses and other current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14, 2026, certain of the Company's stockholders owning more than 5% of the Company's stock, or entities affiliated with such stockholders, purchased pre-funded warrants to purchase up to 2,211,961 shares of voting common stock at a purchase price of $5.199 for total gross proceeds to the Company of $11.5 million (see Note 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14, 2026, the Company issued and sold pre-funded warrants to purchase up to 5,770,335 shares of voting common stock in the Private Placement at a purchase price of $5.199 per Warrant Share to the Investors, including existing investors (see Note 7), for gross proceeds to the Company of $30.0 million. The Company incurred issuance costs of $2.0 million in connection with the issuance of the Warrant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pre-funded warrants have an exercise price of $0.001 per Warrant Share, subject to customary adjustments, and are exercisable at any time after original issuance and will not expire until exercised in full. The pre-funded warrants are also exercisable on a net exercise “cashless” basis. The pre-funded warrants may not be exercised if the aggregate number of shares of voting common stock beneficially owned by the holder thereof immediately following such exercise would exceed a specified beneficial ownership limitation, not to exceed 19.99%.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pre-funded warrants are recorded net of issuance costs and classified as additional paid-in-capital within stockholders’ equity. The pre-funded warrants are classified as equity because they are freestanding financial instruments entered into separately and apart from any of the Company’s other financial instruments or equity transactions, are immediately exercisable, do not embody an obligation for the Company to repurchase its shares, are indexed to the Company’s common stock and meet the equity classification criteria.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Private Placement, the Company entered into a Registration Rights Agreement (the “Registration Rights Agreement”) with the Investors, pursuant to which the Company agreed to prepare and file, within three business days following August 1, 2026, subject to certain allowable delays, a registration statement with the SEC to register for resale the Warrant Shares, and generally to cause the applicable registration statement to promptly become effective. The Company will be required to make certain cash payments in the event of registration failures, as described in the Registration Rights Agreement, not to exceed 5% of the aggregate purchase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determined that the likelihood of the Company incurring a significant amount of liquidated damages pursuant to the Registration Rights Agreement is not probable.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9. Stock-Based Compensation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Company adopted the 2025 Equity Incentive Plan (the “2025 Plan”) in connection with the Merger, which was approved by Ikena’s stockholders at its annual meeting of its stockholders on July 15, 2025 and became effective on the date immediately following the consummation of the Merger. As of the effective time of the 2025 Plan, there were 1,118,167 shares of common stock available for grant under the 2025 Plan. In addition, the number of shares reserved and available for issuance under the 2025 Plan will automatically increase on January 1 of each year for a period of 10 years, commencing on January 1, 2026 and ending on January 1, 2035, in an amount equal to 5% of the total number of shares of the Company’s capital stock outstanding on the last day of the calendar month before the date of each automatic increase, or a lesser number of shares determined by the Company’s </w:t>
      </w:r>
      <w:r>
        <w:rPr>
          <w:rFonts w:ascii="Times New Roman" w:hAnsi="Times New Roman"/>
          <w:color w:val="000000"/>
          <w:sz w:val="20"/>
        </w:rPr>
        <w:t>board of directors</w:t>
      </w:r>
      <w:r>
        <w:rPr>
          <w:rFonts w:ascii="Times New Roman" w:hAnsi="Times New Roman"/>
          <w:color w:val="231F20"/>
          <w:sz w:val="20"/>
        </w:rPr>
        <w:t xml:space="preserve">. The 2025 Plan is a successor to and continuation of Ikena’s 2021 Stock Option and Incentive Plan, as amended (the “2021 Plan”). In addition, the Company assumed, effective as of the closing of the Merger, the Legacy Inmagene 2019 Stock Incentive Plan (the “2019 Plan”). Upon adoption of the 2025 Plan, no further grants will be made under the 2021 Plan or the 2019 Plan. The number of shares reserved for issuance under the 2025 Plan was increased by 559,081 shares effective January 1, 2026 in accordance with the provisions of the 2025 Plan. Additionally, on June 16, 2026, the stockholders of the Company approved the Amended and Restated 2025 Equity Incentive Plan (the “Amended 2025 Plan”) to among other things, </w:t>
      </w:r>
      <w:r>
        <w:rPr>
          <w:rFonts w:ascii="Times New Roman" w:hAnsi="Times New Roman"/>
          <w:color w:val="000000"/>
          <w:sz w:val="20"/>
        </w:rPr>
        <w:t xml:space="preserve">increase the aggregate number of shares of common stock authorized for issuance under the 2025 Plan by 850,000 shares and to include shares of common stock issuable upon conversion or exercise of convertible preferred stock and pre-funded warrants in the calculation of the annual automatic share reserve increase. </w:t>
      </w:r>
      <w:r>
        <w:rPr>
          <w:rFonts w:ascii="Times New Roman" w:hAnsi="Times New Roman"/>
          <w:color w:val="231F20"/>
          <w:sz w:val="20"/>
        </w:rPr>
        <w:t xml:space="preserve">As of June 30, 2026, 1,580,113 shares remain available for issuance under the 2025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Company’s board of directors adopted and approved the 2025 Inducement Plan (the “Inducement Plan”) to reserve 589,585 shares of common stock to be used exclusively for grants of equity awards to individuals that were not previously employees or directors of the Company (or who are returning to employment following a bona fide period of non-employment), as an inducement material to the individual’s entry into employment with the Company, pursuant to Nasdaq Listing Rule 5635(c)(4). The Inducement Plan was adopted and approved without stockholder approval pursuant to Nasdaq Listing Rule 5635(c)(4). On December 18, 2025, the Company’s board of directors approved an amendment to the Inducement Plan to increase the maximum aggregate number of shares of common stock issuable thereunder to 1,589,585 shares of common stock. As of June 30, 2026, 918,558 shares remain available for issuance under the Inducement Plan.</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Company adopted the 2025 Employee Stock Purchase Plan (the “2025 ESPP”) in connection with the Merger, which was approved by Ikena’s stockholders at its annual meeting of its stockholders on July 15, 2025 and became effective on the date immediately following the consummation of the Merger. As of the effective time of the 2025 ESPP, there were 111,816 shares of common stock available for issuance under the 2025 ESPP. In addition, the number of shares of common stock reserved for issuance under the 2025 ESPP will automatically increase on January 1 of each year for a period of 10 years, beginning on January 1, 2026 and continuing through and including January 1, 2035, by an amount equal to the lesser of (i) 1% of the total number of shares of the Company’s capital stock outstanding on the last day of the calendar month before the date of the automatic increase, and (ii) 227,944 shares; provided that before the date of any such increase, the Company’s </w:t>
      </w:r>
      <w:r>
        <w:rPr>
          <w:rFonts w:ascii="Times New Roman" w:hAnsi="Times New Roman"/>
          <w:color w:val="000000"/>
          <w:sz w:val="20"/>
        </w:rPr>
        <w:t>board of directors</w:t>
      </w:r>
      <w:r>
        <w:rPr>
          <w:rFonts w:ascii="Times New Roman" w:hAnsi="Times New Roman"/>
          <w:color w:val="231F20"/>
          <w:sz w:val="20"/>
        </w:rPr>
        <w:t xml:space="preserve"> may determine that such increase will be less than the amount set forth in clauses (i) and (ii). The number of shares reserved for issuance under the 2025 ESPP was increased by 111,816 shares effective January 1, 2026 in accordance with the provisions of the 2025 ESPP. The first offering period began on January 16, 2026 and will end on September 15, 2026. As of June 30, 2026, no shares had been granted or purchased and 223,632 shares remained available for issuance under the 2025 ESPP.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granted 340,030 options with an aggregate grant-date fair value of $1.7 million and 256,212 RSUs with an aggregate grant-date fair value of $1.6 million to employees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Stock-based compensation expense was as follows (in thousands):</w:t>
      </w:r>
    </w:p>
    <w:tbl>
      <w:tblPr>
        <w:tblW w:w="9010" w:type="dxa"/>
        <w:jc w:val="left"/>
        <w:tblInd w:w="0" w:type="dxa"/>
        <w:tblLayout w:type="fixed"/>
        <w:tblCellMar>
          <w:top w:w="28" w:type="dxa"/>
          <w:left w:w="28" w:type="dxa"/>
          <w:bottom w:w="28" w:type="dxa"/>
          <w:right w:w="28" w:type="dxa"/>
        </w:tblCellMar>
      </w:tblPr>
      <w:tblGrid>
        <w:gridCol w:w="3551"/>
        <w:gridCol w:w="246"/>
        <w:gridCol w:w="326"/>
        <w:gridCol w:w="650"/>
        <w:gridCol w:w="225"/>
        <w:gridCol w:w="225"/>
        <w:gridCol w:w="302"/>
        <w:gridCol w:w="534"/>
        <w:gridCol w:w="246"/>
        <w:gridCol w:w="246"/>
        <w:gridCol w:w="267"/>
        <w:gridCol w:w="725"/>
        <w:gridCol w:w="185"/>
        <w:gridCol w:w="185"/>
        <w:gridCol w:w="267"/>
        <w:gridCol w:w="439"/>
        <w:gridCol w:w="391"/>
      </w:tblGrid>
      <w:tr>
        <w:trPr/>
        <w:tc>
          <w:tcPr>
            <w:tcW w:w="35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unrecognized stock-based compensation expense related to stock-based awards was $11.2 million, which is estimated to be recognized over a period of 3.0 years. </w:t>
      </w:r>
    </w:p>
    <w:p>
      <w:pPr>
        <w:pStyle w:val="TextBody"/>
        <w:bidi w:val="0"/>
        <w:spacing w:before="360" w:after="283"/>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changes to the Company’s lease agreements during the three or six months ended June 30, 2026. For additional information on the Company's operating leases, see Note 8, </w:t>
      </w:r>
      <w:r>
        <w:rPr>
          <w:rFonts w:ascii="Times New Roman" w:hAnsi="Times New Roman"/>
          <w:i/>
          <w:color w:val="000000"/>
          <w:sz w:val="20"/>
        </w:rPr>
        <w:t>Leases</w:t>
      </w:r>
      <w:r>
        <w:rPr>
          <w:rFonts w:ascii="Times New Roman" w:hAnsi="Times New Roman"/>
          <w:color w:val="000000"/>
          <w:sz w:val="20"/>
        </w:rPr>
        <w:t>, of the Notes to the Consolidated Financial Statements in the Company’s Annual Report on Form 10-K for the year ended December 31, 2025.</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Legal Proceedings and Other Contingencies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merger, two actions were filed against the Company and its board of directors in the Supreme Court for the State of New York, County of New York, captioned Smith v. Ikena Oncology, Inc., et al., No. 653576/2025 (filed June 12, 2025) and Kent v. Ikena Oncology, Inc., et al., No. 653588/2025 (filed June 13, 2025) (collectively, the “Complaints”). The Complaints allege that the defendants filed or caused to be filed a materially incomplete and misleading registration statement with the SEC and asserts claims under New York common law for negligent misrepresentation and concealment and negligence. In addition, the Company and its board of directors have received five additional demands from purported stockholders seeking additional disclosures in the registration statement (collectively, the “Demands”). On February 27, 2026, the Complaints were voluntarily dismissed and the Company has received no additional outreach from the purported stockholders who sent the Demands.</w:t>
      </w:r>
    </w:p>
    <w:p>
      <w:pPr>
        <w:pStyle w:val="TextBody"/>
        <w:bidi w:val="0"/>
        <w:jc w:val="left"/>
        <w:rPr>
          <w:rFonts w:ascii="Times New Roman" w:hAnsi="Times New Roman"/>
          <w:color w:val="000000"/>
          <w:sz w:val="20"/>
        </w:rPr>
      </w:pPr>
      <w:r>
        <w:rPr>
          <w:rFonts w:ascii="Times New Roman" w:hAnsi="Times New Roman"/>
          <w:color w:val="000000"/>
          <w:sz w:val="20"/>
        </w:rPr>
        <w:t xml:space="preserve">Liabilities for loss contingencies arising from claims, assessments, litigation, fines and penalties and other sources are recorded when it is probable that a liability has been incurred and the amount can be reasonably estimated.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 provisions. The Company is not currently aware of any indemnification claims and has not accrued any liabilities related to such obligations in its condensed consolidated financial statements as of June 30, 2026.</w:t>
      </w:r>
    </w:p>
    <w:p>
      <w:pPr>
        <w:pStyle w:val="TextBody"/>
        <w:bidi w:val="0"/>
        <w:spacing w:before="120" w:after="283"/>
        <w:jc w:val="left"/>
        <w:rPr>
          <w:rFonts w:ascii="Times New Roman" w:hAnsi="Times New Roman"/>
          <w:sz w:val="20"/>
        </w:rPr>
      </w:pPr>
      <w:r>
        <w:rPr>
          <w:rFonts w:ascii="Times New Roman" w:hAnsi="Times New Roman"/>
          <w:b/>
          <w:i/>
          <w:color w:val="000000"/>
          <w:sz w:val="20"/>
        </w:rPr>
        <w:t>Licensing Agreements with HUTCHMED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consummation of the Merger in July 2025, the Company became the successor of the Collaboration, Option and License Agreement, as amended (the “Hutchmed Agreement”) between Legacy Inmagene and HUTCHMED Limited (formerly known as Hutchinson Medipharma Limited) (“Hutchmed”). Under the terms of the Hutchmed Agreement, Legacy Inmagene received an exclusive, royalty-free, worldwide license to perform research and development and for use in regulatory filings related to the licensed compounds (the “Licensed Compounds”). Further, on a Licensed Compound-by-Licensed Compound basis, Hutchmed granted Legacy Inmagene the exclusive option to the worldwide license with the right to sublicense to develop, manufacture and commercialize the licensed compound, with Hutchmed retaining first right to co-commercialization in mainland China (each a “License Option”). In April 2023, Legacy Inmagene entered into an amendment to the Hutchmed Agreement which terminated portions of the Hutchmed Agreement related to one of the compounds, and extended Legacy Inmagene’s deadline for License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exercise by an additional year to allow time for additional research to be performed on two of the remaining targets. On October 16, 2023, Legacy Inmagene exercised the License Option for (a) anti-OX40 mAb, and (b) the BTK (Bruton tyrosine kinase) inhibitor. Upon exercise of the License Option, Legacy Inmagene acquired an exclusive, worldwide, royalty-bearing license with the right to sublicense through multiple tiers, under certain patents and know-how controlled by Hutchmed and Hutchmed’s right, title and interest in the joint intellectual property to develop, manufacture and commercialize any product that contains, incorporates, or otherwise includes the Licensed Compound (the “Licensed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Hutchmed is eligible to receive up to $92.5 million for each Licensed Product upon the achievement of various development and regulatory milestones. Additionally, Hutchmed is eligible to receive up to $135.0 million for each Licensed Compound upon the achievement of various worldwide aggregate cumulative net sales milestones for the Licensed Products that contain such Licensed Compound and tiered royalty rates in the high-single-digit to low-tens percentages on a Licensed Compound-by-Licensed Compound basis for net sales of such Licensed Compounds worldwide, subject to reduction in certain circumstances. None of the payments under the Hutchmed Agreement are refundable. As of June 30, 2026, the Company has not met any of the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Non-OX40 Divestiture (see Note 1), the BTK inhibitor program was initially sublicensed to BuyCo. Thereafter, pursuant to a novation agreement, BuyCo became the direct licensee of the BTK inhibitor program from Hutchmed. The Company continues to actively develop the anti-OX40 mAb program.</w:t>
      </w:r>
    </w:p>
    <w:p>
      <w:pPr>
        <w:pStyle w:val="TextBody"/>
        <w:bidi w:val="0"/>
        <w:spacing w:before="240" w:after="283"/>
        <w:jc w:val="left"/>
        <w:rPr>
          <w:rFonts w:ascii="Times New Roman" w:hAnsi="Times New Roman"/>
          <w:sz w:val="20"/>
        </w:rPr>
      </w:pPr>
      <w:r>
        <w:rPr>
          <w:rFonts w:ascii="Times New Roman" w:hAnsi="Times New Roman"/>
          <w:b/>
          <w:i/>
          <w:color w:val="000000"/>
          <w:sz w:val="20"/>
        </w:rPr>
        <w:t>Legacy Collaborative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collaboration agreements and programs that Legacy Inmagene was a party to were divested in connection with the Non-OX40 Divestiture as described in Note 1 and the Company has no further obligations under such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recast its basic and diluted earnings per share computation for the three and six months ended June 30, 2025 for the effect of the exchange ratio of 0.0030510 resulting from the close of the Merger on July 25, 2025.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834"/>
        <w:gridCol w:w="146"/>
        <w:gridCol w:w="211"/>
        <w:gridCol w:w="1036"/>
        <w:gridCol w:w="166"/>
        <w:gridCol w:w="146"/>
        <w:gridCol w:w="211"/>
        <w:gridCol w:w="931"/>
        <w:gridCol w:w="166"/>
        <w:gridCol w:w="146"/>
        <w:gridCol w:w="211"/>
        <w:gridCol w:w="1036"/>
        <w:gridCol w:w="166"/>
        <w:gridCol w:w="146"/>
        <w:gridCol w:w="211"/>
        <w:gridCol w:w="931"/>
        <w:gridCol w:w="511"/>
      </w:tblGrid>
      <w:tr>
        <w:trPr/>
        <w:tc>
          <w:tcPr>
            <w:tcW w:w="3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convertible</w:t>
              <w:br/>
              <w:t>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Net loss attributable to common </w:t>
              <w:br/>
              <w:t>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11,279,130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11,245,387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Series A convertible</w:t>
              <w:br/>
              <w:t>   preferred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994,869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w:t>
              <w:br/>
              <w:t>   under the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2,405,680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w:t>
              <w:br/>
              <w:t>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purposes of calculating net loss per share, the Company considered the Legacy Inmagene Series A Convertible Preferred Shares to represent a class of common stock. As a result, basic and diluted net loss per share attributable to common stockholders include Legacy Inmagene Series A Convertible Preferred Shares for the periods such shares were outstanding.</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issued and sold pre-funded warrants in April 2026 (see Note 8). The shares of common stock underlying the pre-funded warrants are included in the calculation of basic and diluted net loss per share because they are considered shares issuable for little or no consideration under ASC 260, Earnings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shares of potentially dilutive securities outstanding as of period end were excluded from the computation of diluted net loss per share for the periods presented because their effect would have been anti-dilutive:</w:t>
      </w:r>
    </w:p>
    <w:tbl>
      <w:tblPr>
        <w:tblW w:w="6389" w:type="dxa"/>
        <w:jc w:val="left"/>
        <w:tblInd w:w="0" w:type="dxa"/>
        <w:tblLayout w:type="fixed"/>
        <w:tblCellMar>
          <w:top w:w="28" w:type="dxa"/>
          <w:left w:w="28" w:type="dxa"/>
          <w:bottom w:w="28" w:type="dxa"/>
          <w:right w:w="28" w:type="dxa"/>
        </w:tblCellMar>
      </w:tblPr>
      <w:tblGrid>
        <w:gridCol w:w="3406"/>
        <w:gridCol w:w="146"/>
        <w:gridCol w:w="146"/>
        <w:gridCol w:w="931"/>
        <w:gridCol w:w="146"/>
        <w:gridCol w:w="146"/>
        <w:gridCol w:w="146"/>
        <w:gridCol w:w="931"/>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shares</w:t>
              <w:br/>
              <w:t>  (as converted to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2,163,434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2,647,249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12.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a single operating and reportable segment for the purpose of assessing performance and making operating decisions. Operating segments are defined as components of an enterprise for which separate financial information is regularly evaluated by the Company’s chief operating decision maker, or decision-making group (the “CODM”), in deciding how to allocate resources and assess performance. The Company’s chief executive officer, who is the CODM, reviews the Company’s financial information on an aggregated basis for purposes of evaluating financial performance and allocating resources. The CODM assesses operating performance as compared to planned activities for the operating segment and decides how to allocate resources based on net loss that also is reported on the consolidated statement of operations and comprehensive loss.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a single reportable segment entity, the Company’s segment performance measure is net loss. In addition to the significant expense categories included within consolidated net loss presented in the condensed consolidated statements of operations and comprehensive loss, the below table sets forth disaggregated amounts that comprise research and development expenses and general and administrative expenses (in thousands): </w:t>
      </w:r>
    </w:p>
    <w:tbl>
      <w:tblPr>
        <w:tblW w:w="9772" w:type="dxa"/>
        <w:jc w:val="left"/>
        <w:tblInd w:w="0" w:type="dxa"/>
        <w:tblLayout w:type="fixed"/>
        <w:tblCellMar>
          <w:top w:w="28" w:type="dxa"/>
          <w:left w:w="28" w:type="dxa"/>
          <w:bottom w:w="28" w:type="dxa"/>
          <w:right w:w="28" w:type="dxa"/>
        </w:tblCellMar>
      </w:tblPr>
      <w:tblGrid>
        <w:gridCol w:w="4311"/>
        <w:gridCol w:w="146"/>
        <w:gridCol w:w="257"/>
        <w:gridCol w:w="697"/>
        <w:gridCol w:w="178"/>
        <w:gridCol w:w="178"/>
        <w:gridCol w:w="257"/>
        <w:gridCol w:w="697"/>
        <w:gridCol w:w="146"/>
        <w:gridCol w:w="146"/>
        <w:gridCol w:w="222"/>
        <w:gridCol w:w="713"/>
        <w:gridCol w:w="154"/>
        <w:gridCol w:w="154"/>
        <w:gridCol w:w="222"/>
        <w:gridCol w:w="603"/>
        <w:gridCol w:w="69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Program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_discussion_and_analys"/>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condensed consolidated financial statements and the related notes thereto included elsewhere in this Quarterly Report and the audited financial statements and the related notes and “Management’s Discussion and Analysis of Financial Condition and Results of Operations” in our annual report on Form 10-K, filed with the SEC on March 10, 2026. The following discussion contains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these differences include, but are not limited to, those discussed below and elsewhere in this Quarterly Report, particularly in the sections titled “Risk Factors” and “Special Note Regarding Forward-Looking Statements.” We do not intend, and undertake no obligation, to update these forward-looking statements, except as required by law.</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therapeutics for patients with immunological, autoimmune and inflammatory diseases. Our lead asset, IMG-007, recently named olevaprubart, is a non-depleting anti-OX40 monoclonal antibody that binds specifically to OX40 receptor on activated T cells to block receptor binding to OX40 ligand (“OX40L”). Olevaprubart is being developed to potentially treat multiple autoimmune and inflammatory diseases and disorders, with initial evaluation in AD and AA. OX40 signaling is thought to be important in driving the pathogenesis of a spectrum of immunological, autoimmune and inflammatory diseases, including additional dermatological diseases, respiratory, gastrointestinal, and rheumatic diseases. Olevaprubart is initially being developed for the treatment of AD and AA, and we believe it has further “pipeline within a product” potential. We may explore additional indications with olevaprubart such as asthma, rheumatoid arthritis, and hidradenitis suppurativa,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multi-country Phase 2b dose-finding AD study began in 2025 and is progressing under an amended protocol. The amendment enables optimized dosing of patients with a range of dose exposures. Topline data from the Phase 2b clinical trial is expected in the fourth quarter of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initiate a Phase 2 study in AA by the end of 2026. The study objectives will be characterization of the benefit-risk of olevaprubart and dose selection for future pivotal studies. We expect to have initial data from the Phase 2 study in AA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we entered into a Securities Purchase Agreement (the “Purchase Agreement”) with certain institutional and accredited investors (the “Investors”), including existing investors, pursuant to which we issued and sold pre-funded warrants to purchase up to 5,770,335 shares of voting common stock (the “Warrant Shares”) at $0.001 per share, in a private placement transaction (the “Private Placement”) at a purchase price of $5.199 per Warrant Share to the Investors for gross proceeds of $30.0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Reverse Merger, Non-OX40 Divestiture and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25, 2025, we completed the Merger. In connection with the completion of the Merger, we changed our name from “Ikena Oncology, Inc.” to “ImageneBio, Inc.” and the business conducted by us became primarily the business conducted by Legacy Inmagene.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25, 2025, immediately prior to consummation of the Merger, we consummated the divestiture of the non-IMG-007 business related assets, business and operations (the “Non-OX40 Business”) controlled by us immediately prior to the Merger (the “Non-OX40 Divestiture”) by selling and transferring (including via sublicense) all of the Non-OX40 Business to Miragene Inc., a newly formed private company and our wholly owned subsidiary (“Miragene”). As part of the Non-OX40 Divestiture, Miragene Co, a newly formed private company and related party (“BuyCo”) held by the holders of outstanding Legacy Inmagene Shares prior to the Merger, purchased Miragene from us in exchange for a promissory note in the amount of $8.9 million. Any payments made under the promissory note to us will be distributed to Legacy Inmagene CVR holders as Legacy Inmagene CVR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Non-OX40 Divestiture, IMG-007 became the only product candidate we have in clinical development. In connection with the Non-OX40 Divestiture, we entered into a Transition Services Agreement (the “Transition Services Agreement”), dated July 25, 2025, with Miragene for the provision of certain transitional services related to the ongoing IMG-007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Concurrently with the execution of the Merger Agreement, and in order to provide us with additional capital for the IMG-007 program, Ikena entered into subscription agreements with certain accredited investors, pursuant to which, immediately following the closing of the Merger, Ikena issued and sold an aggregate of 2,508,337 shares of common stock in a private placement at a price of $29.90 per share for aggregate gross proceeds of $75.0 million (the “2025 PIPE Financing”).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Item 1 of Part I “Financial Statements––Note 1 – </w:t>
      </w:r>
      <w:r>
        <w:rPr>
          <w:rFonts w:ascii="Times New Roman" w:hAnsi="Times New Roman"/>
          <w:i/>
          <w:color w:val="000000"/>
          <w:sz w:val="20"/>
        </w:rPr>
        <w:t>Organization</w:t>
      </w:r>
      <w:r>
        <w:rPr>
          <w:rFonts w:ascii="Times New Roman" w:hAnsi="Times New Roman"/>
          <w:color w:val="000000"/>
          <w:sz w:val="20"/>
        </w:rPr>
        <w:t>”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Impact of General Economic Risk Factors on the Company’s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Uncertainty in the global economy presents significant risks to our business. We are subject to continuing risks and uncertainties in connection with the current macroeconomic environment, including elevated and fluctuating inflation, fluctuating interest rates, new or increased tariffs and other barriers to trade, changes to fiscal and monetary policy, changes in government regulatory policies, or government budget dynamics (particularly in the pharmaceutical and biotech areas), geopolitical factors, and supply chain disruptions. While we are closely monitoring the impact of the current macroeconomic and geopolitical conditions on all aspects of our business, including the impacts on participants in any future clinical trials and our employees, suppliers, vendors and business partners and our future access to capital, the ultimate extent of the impact on our business remains highly uncertain and will depend on future developments and factors that continue to evolve. Most of these developments and factors are outside of our control and could exist for an extended period of time. We will continue to evaluate the nature and extent of the potential impacts to our business, results of operations,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Our revenue has been derived from license payments under collaboration and license agreements, which were divested in connection with the Non-OX40 Divestiture described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operating expenses consist of research and development expenses and general and administrative expenses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connection with the research and development of our programs. These expenses primarily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stock-based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and sub-license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for the foreseeable future as we seek to advance olevaprubart through clinical development, including in additional indications, complete clinical trials, seek regulatory approval and, if we receive regulatory approval, commercialize our products. Furthermore, the costs of advancing product candidates into each succeeding clinical phase tend to increase substantially over time. The total costs to advance olevaprubart or any future product candidate to regulatory approval in even a single jurisdiction would be substantial. Because of the numerous risks and uncertainties associated with product development, we are unable to accurately predict the timing or amount of increased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including salaries, bonuses, benefits and stock-based compensation, for individuals in our executive, finance, human resources, business development and other administrative functions. Other significant general and administrative expenses include legal fees relating to corporate matters and patent-related expenses, allocated facilities and overhead costs, including insurance and information technology, and professional and consulting fees associated with accounting, audit, tax and investor and public relations. We expect our general and administrative expenses to increase over the next several years as we continue our research and development activities, prepare for potential commercialization of olevaprubart and any future product candidates, as well as expand our operations and operate as a public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consists of interest earned on cash, cash equivalents and marketable securities, including amortization of purchase premiums and accretion of discounts of marketable securities. Interest income (expense) for 2025 also included interest expense on a term loan from Ikena that was settled as part of the Merger. We no longer incur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of miscellaneous income (expense) unrelated to our core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3236"/>
        <w:gridCol w:w="146"/>
        <w:gridCol w:w="227"/>
        <w:gridCol w:w="793"/>
        <w:gridCol w:w="179"/>
        <w:gridCol w:w="157"/>
        <w:gridCol w:w="227"/>
        <w:gridCol w:w="680"/>
        <w:gridCol w:w="166"/>
        <w:gridCol w:w="146"/>
        <w:gridCol w:w="211"/>
        <w:gridCol w:w="631"/>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License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license revenue for either of the three months ended June 30, 2026 or 2025. Following the Non-OX40 Divestiture, we no longer generate revenue under license and collaboration agreements.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our research and development expenses (in thousands):</w:t>
      </w:r>
    </w:p>
    <w:tbl>
      <w:tblPr>
        <w:tblW w:w="8586" w:type="dxa"/>
        <w:jc w:val="left"/>
        <w:tblInd w:w="0" w:type="dxa"/>
        <w:tblLayout w:type="fixed"/>
        <w:tblCellMar>
          <w:top w:w="28" w:type="dxa"/>
          <w:left w:w="28" w:type="dxa"/>
          <w:bottom w:w="28" w:type="dxa"/>
          <w:right w:w="28" w:type="dxa"/>
        </w:tblCellMar>
      </w:tblPr>
      <w:tblGrid>
        <w:gridCol w:w="4211"/>
        <w:gridCol w:w="446"/>
        <w:gridCol w:w="257"/>
        <w:gridCol w:w="697"/>
        <w:gridCol w:w="178"/>
        <w:gridCol w:w="178"/>
        <w:gridCol w:w="257"/>
        <w:gridCol w:w="697"/>
        <w:gridCol w:w="146"/>
        <w:gridCol w:w="146"/>
        <w:gridCol w:w="211"/>
        <w:gridCol w:w="57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Program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for the three months ended June 30, 2026 were $6.7 million compared to $5.7 million for the three months ended June 30, 2025. The increase in program costs of $0.5 million was primarily due to increased clinical trial costs related to our Phase 2b dose-finding AD study that began in 2025, partially offset by a decrease in manufacturing costs. Personnel-related costs increased by $0.3 million due primarily to overall compensation increases.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our general and administrative expenses (in thousands):</w:t>
      </w:r>
    </w:p>
    <w:tbl>
      <w:tblPr>
        <w:tblW w:w="8116" w:type="dxa"/>
        <w:jc w:val="left"/>
        <w:tblInd w:w="0" w:type="dxa"/>
        <w:tblLayout w:type="fixed"/>
        <w:tblCellMar>
          <w:top w:w="28" w:type="dxa"/>
          <w:left w:w="28" w:type="dxa"/>
          <w:bottom w:w="28" w:type="dxa"/>
          <w:right w:w="28" w:type="dxa"/>
        </w:tblCellMar>
      </w:tblPr>
      <w:tblGrid>
        <w:gridCol w:w="3841"/>
        <w:gridCol w:w="446"/>
        <w:gridCol w:w="257"/>
        <w:gridCol w:w="697"/>
        <w:gridCol w:w="178"/>
        <w:gridCol w:w="178"/>
        <w:gridCol w:w="257"/>
        <w:gridCol w:w="697"/>
        <w:gridCol w:w="146"/>
        <w:gridCol w:w="146"/>
        <w:gridCol w:w="211"/>
        <w:gridCol w:w="571"/>
        <w:gridCol w:w="491"/>
      </w:tblGrid>
      <w:tr>
        <w:trPr/>
        <w:tc>
          <w:tcPr>
            <w:tcW w:w="38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Consulting and professional services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Facilities-related and other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for the three months ended June 30, 2026 were $5.1 million compared to $1.7 million for the three months ended June 30, 2025. The increase of $0.9 million in personnel-related expenses was primarily due to overall compensation increases. Increased stock-based compensation expense of $0.8 million was primarily due to new equity grants after the closing of the Merger. Consulting and professional services costs increased by $0.9 million primarily due to an increase in legal costs related to intellectual property and general corporate activity. Facilities-related and other also increased by $0.9 million primarily due to an increase of $0.4 million in facilities costs primarily related to an Ikena lease that expires in April 2027 and increases in insurance costs and other costs to support our operations as a public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for the three months ended June 30, 2026 consisted of $1.2 million of interest income earned on our invested cash balances. Interest income (expense) for the three months ended June 30, 2025 consisted of interest expense of $0.3 million on a previously outstanding term loan from Ikena, partially offset by interest income of less than $0.1 million earned on our cash balances. Our term loan from Ikena was settled as part of the Merger and we no longer incur interest expense.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three months ended June 30, 2026 of $0.4 million consisted primarily of sublease income. Other income, net for the three months ended June 30, 2025 was insignificant.</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(in thousands): </w:t>
      </w:r>
    </w:p>
    <w:tbl>
      <w:tblPr>
        <w:tblW w:w="7438" w:type="dxa"/>
        <w:jc w:val="left"/>
        <w:tblInd w:w="0" w:type="dxa"/>
        <w:tblLayout w:type="fixed"/>
        <w:tblCellMar>
          <w:top w:w="28" w:type="dxa"/>
          <w:left w:w="28" w:type="dxa"/>
          <w:bottom w:w="28" w:type="dxa"/>
          <w:right w:w="28" w:type="dxa"/>
        </w:tblCellMar>
      </w:tblPr>
      <w:tblGrid>
        <w:gridCol w:w="3236"/>
        <w:gridCol w:w="146"/>
        <w:gridCol w:w="211"/>
        <w:gridCol w:w="736"/>
        <w:gridCol w:w="166"/>
        <w:gridCol w:w="146"/>
        <w:gridCol w:w="211"/>
        <w:gridCol w:w="736"/>
        <w:gridCol w:w="166"/>
        <w:gridCol w:w="146"/>
        <w:gridCol w:w="211"/>
        <w:gridCol w:w="736"/>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License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revenue for the six months ended June 30, 2025 related to non-OX40 programs. Following the Non-OX40 Divestiture, we no longer generate revenue under license and collaboration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our research and development expenses (in thousands):</w:t>
      </w:r>
    </w:p>
    <w:tbl>
      <w:tblPr>
        <w:tblW w:w="8390" w:type="dxa"/>
        <w:jc w:val="left"/>
        <w:tblInd w:w="0" w:type="dxa"/>
        <w:tblLayout w:type="fixed"/>
        <w:tblCellMar>
          <w:top w:w="28" w:type="dxa"/>
          <w:left w:w="28" w:type="dxa"/>
          <w:bottom w:w="28" w:type="dxa"/>
          <w:right w:w="28" w:type="dxa"/>
        </w:tblCellMar>
      </w:tblPr>
      <w:tblGrid>
        <w:gridCol w:w="4211"/>
        <w:gridCol w:w="446"/>
        <w:gridCol w:w="222"/>
        <w:gridCol w:w="713"/>
        <w:gridCol w:w="154"/>
        <w:gridCol w:w="154"/>
        <w:gridCol w:w="222"/>
        <w:gridCol w:w="603"/>
        <w:gridCol w:w="146"/>
        <w:gridCol w:w="146"/>
        <w:gridCol w:w="211"/>
        <w:gridCol w:w="57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Program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for the six months ended June 30, 2026 were $12.6 million compared to $9.7 million for the six months ended June 30, 2025. The increase in program costs of $1.9 million was primarily due to increased clinical trial costs related to our Phase 2b dose-finding AD study that began in 2025, partially offset by a decrease in manufacturing costs. Personnel-related costs increased by $0.5 million due primarily to overall compensation increases. Increased stock-based compensation expense of $0.2 million was due primarily to new equity grants after the closing of the Merger.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our general and administrative expenses (in thousands):</w:t>
      </w:r>
    </w:p>
    <w:tbl>
      <w:tblPr>
        <w:tblW w:w="7920" w:type="dxa"/>
        <w:jc w:val="left"/>
        <w:tblInd w:w="0" w:type="dxa"/>
        <w:tblLayout w:type="fixed"/>
        <w:tblCellMar>
          <w:top w:w="28" w:type="dxa"/>
          <w:left w:w="28" w:type="dxa"/>
          <w:bottom w:w="28" w:type="dxa"/>
          <w:right w:w="28" w:type="dxa"/>
        </w:tblCellMar>
      </w:tblPr>
      <w:tblGrid>
        <w:gridCol w:w="3841"/>
        <w:gridCol w:w="446"/>
        <w:gridCol w:w="222"/>
        <w:gridCol w:w="713"/>
        <w:gridCol w:w="154"/>
        <w:gridCol w:w="154"/>
        <w:gridCol w:w="222"/>
        <w:gridCol w:w="603"/>
        <w:gridCol w:w="146"/>
        <w:gridCol w:w="146"/>
        <w:gridCol w:w="211"/>
        <w:gridCol w:w="571"/>
        <w:gridCol w:w="491"/>
      </w:tblGrid>
      <w:tr>
        <w:trPr/>
        <w:tc>
          <w:tcPr>
            <w:tcW w:w="38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Consulting and professional services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Facilities-related and other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for the six months ended June 30, 2026 were $11.2 million compared to $4.5 million for the six months ended June 30, 2025. Increases in personnel-related expenses of $2.2 million were primarily due to retention and severance costs of $1.0 million as well as overall compensation increases, and increased stock-based compensation expense of $1.5 million was primarily due to new equity grants after the closing of the Merger. Consulting and professional services costs increased by $1.2 million primarily due to an increase in legal costs related to intellectual property and general corporate activity. Facilities-related and other also increased by $1.9 million primarily due to an increase of $0.8 million in facilities costs primarily related to an Ikena lease that expires in April 2027 and increases in insurance costs and other costs to support our operations as a public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for the six months ended June 30, 2026 consisted of $2.4 million of interest income earned on our invested cash balances. Interest income (expense) for the six months ended June 30, 2025 consisted of interest expense of $0.4 million on a previously outstanding term loan from Ikena, partially offset by interest income of $0.1 million earned on our cash balances. Our term loan from Ikena was settled as part of the Merger and we no longer incur interest expense.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six months ended June 30, 2026 of $0.7 million consisted primarily of sublease income. Other income, net for the six months ended June 30, 2025 was insignificant.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devoted substantially all of our resources to advancing the development of our portfolio of programs, organizing and staffing, business planning, raising capital, and providing general and administrative support for these operations. We have incurred recurring losses and negative cash flows from operations since our inception. For the six months ended June 30, 2026, we incurred a net loss of $20.8 million and, as of June 30, 2026, we had an accumulated deficit of $250.9 million. Prior to the Merger, we primarily funded our operations with proceeds from the sale and issuance of Legacy Inmagene preferred shares. Assets acquired in the Merger included $94.7 million of cash, cash equivalents and marketable securities. Additionally, we received gross proceeds of $75.0 million from the associated 2025 PIPE Financing. In April 2026, we received gross proceeds of $30.0 million from the Private Placement and incurred related issuance costs of $2.0 million. As of June 30, 2026, we had cash, cash equivalents and marketable securities of $136.2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a summary of cash flows (in thousands):</w:t>
      </w:r>
    </w:p>
    <w:tbl>
      <w:tblPr>
        <w:tblW w:w="6229" w:type="dxa"/>
        <w:jc w:val="left"/>
        <w:tblInd w:w="0" w:type="dxa"/>
        <w:tblLayout w:type="fixed"/>
        <w:tblCellMar>
          <w:top w:w="28" w:type="dxa"/>
          <w:left w:w="28" w:type="dxa"/>
          <w:bottom w:w="28" w:type="dxa"/>
          <w:right w:w="28" w:type="dxa"/>
        </w:tblCellMar>
      </w:tblPr>
      <w:tblGrid>
        <w:gridCol w:w="3566"/>
        <w:gridCol w:w="246"/>
        <w:gridCol w:w="211"/>
        <w:gridCol w:w="736"/>
        <w:gridCol w:w="166"/>
        <w:gridCol w:w="146"/>
        <w:gridCol w:w="211"/>
        <w:gridCol w:w="736"/>
        <w:gridCol w:w="211"/>
      </w:tblGrid>
      <w:tr>
        <w:trPr/>
        <w:tc>
          <w:tcPr>
            <w:tcW w:w="3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$23.9 million, consisting primarily of our net loss of $20.8 million and net cash used by changes in our operating assets and liabilities of $5.2 million, partially offset by net non-cash charges of $2.1 million. Cash used by changes in our operating assets and liabilities primarily related to a $3.0 million increase in deposits and other non-current assets primarily related to deposits for our clinical trials, a $1.1 million decrease in operating lease liabilities and a $1.0 million decrease in accounts payable and accrued expenses and other current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$19.1 million, consisting primarily of net loss incurred during the period of $13.7 million and net cash used by changes in our operating assets and liabilities of $6.1 million, partially offset by net non-cash charges of $0.6 million. Cash used by changes in our operating assets and liabilities primarily related to a $6.2 million increase in prepaid expenses and other current assets and a $0.7 million decrease in deferred revenue, partially offset by a $0.9 million increase in accounts payable and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prepaid expenses and other current assets, accounts payable, and accrued expenses and other current liabilities are generally due to the advancement of our research and development programs and the timing of vendor invoicing and payments.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$0.8 million consisting of purchases of available-for-sale securities of $18.9 million, partially offset by maturities of available-for-sale securities of $18.1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was no cash used in or provided by investing activities for the six months ended June 30, 2025.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of $24.8 million consisted primarily of net cash provided by the issuance of pre-funded warrants for common stock of $28.0 million, partially offset by the payment of issuance costs incurred in 2025 in connection with the reverse recapitalization. Net cash provided by financing activities for the six months ended June 30, 2025 was $13.0 million, consisting primarily of $15.0 million of proceeds from the Term Loan, partially offset by $2.0 million paid for deferred offering costs related to the contemplated merger with Ikena.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$136.2 million. We believe that our cash, cash equivalents and marketable securities are sufficient to support operations through at least the next 12 months from the date of issuance of the condensed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substantial additional funding to support our operating activities as we advance our potential product candidates through development, seek regulatory approval, and prepare for and, if any of our product candidates are approved, proceed to commercialization. Because the length of time and activities associated with successful development of olevaprubart and any future product candidates are highly uncertain, we are unable to estimate the actual funds we will require for development and any marketing and commercialization activities. Our future funding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type, number, scope, progress, expansions, results, costs and timing of discovery, preclinical studies and clinical trials of olevaprubart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manufacturing for olevaprubart and any future product candidates, including if we develop our own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obtaining, maintaining and protecting our intellectual property portfolio, including filing, prosecuting, defending and enforcing our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a sales, marketing and distribution infrastructure to commercialize olevaprubart and any future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royalty, milestone or other payments made to our current or future suppliers, collaborators or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the milestone or other payments made to us under any future collaboration or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growing our workforce and retaining and motivating our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results of our commercialization of olevaprubart and any future product candidates, if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products or technologies that we may in-license or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additional internal systems and infrastructure, including operational, financial and management information systems.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finance our operating activities through a combination of equity offerings, debt financings and license and collaboration agreements. Adequate funding may not be available to us on acceptable terms, or at all. If we are unable to obtain additional funding, we will assess our capital resources and may be required to delay, reduce the scope of, or eliminate some or all of our planned operations, which may have a material adverse effect on our business, financial condition, results of operations, and ability to operate as a going concern.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more information as to the risks associated with our future funding needs, see the section titled “Risk Factors—Risks Related to Our Limited Operating History, Financial Position and Need for Additional Capital.”</w:t>
      </w:r>
    </w:p>
    <w:p>
      <w:pPr>
        <w:pStyle w:val="TextBody"/>
        <w:bidi w:val="0"/>
        <w:spacing w:before="240" w:after="283"/>
        <w:jc w:val="left"/>
        <w:rPr>
          <w:rFonts w:ascii="Times New Roman" w:hAnsi="Times New Roman"/>
          <w:sz w:val="20"/>
        </w:rPr>
      </w:pPr>
      <w:r>
        <w:rPr>
          <w:rFonts w:ascii="Times New Roman" w:hAnsi="Times New Roman"/>
          <w:b/>
          <w:i/>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cash commitments from those disclosed in our Annual Report on Form 10-K for the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generally accepted accounting principles in the United States. The preparation of our condensed consolidated financial statements and related disclosures requires us to make estimates, assumptions and judgments that affect the reported amounts of assets, liabilities, costs and expenses, and related disclosures. We evaluate our estimates on an ongoing basis. Our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policies and estimates from those disclosed in our audited consolidated financial statements and notes thereto as of and for the year ended December 31, 2025 included in our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 </w:t>
      </w:r>
      <w:r>
        <w:rPr>
          <w:rFonts w:ascii="Times New Roman" w:hAnsi="Times New Roman"/>
          <w:i/>
          <w:color w:val="000000"/>
          <w:sz w:val="20"/>
        </w:rPr>
        <w:t>Summary of Significant Accounting Policies</w:t>
      </w:r>
      <w:r>
        <w:rPr>
          <w:rFonts w:ascii="Times New Roman" w:hAnsi="Times New Roman"/>
          <w:color w:val="000000"/>
          <w:sz w:val="20"/>
        </w:rPr>
        <w:t xml:space="preserve"> to our unaudited condensed consolidated financial statements included in this Quarterly Report.</w:t>
      </w:r>
    </w:p>
    <w:p>
      <w:pPr>
        <w:pStyle w:val="TextBody"/>
        <w:bidi w:val="0"/>
        <w:spacing w:before="360" w:after="283"/>
        <w:jc w:val="left"/>
        <w:rPr>
          <w:rFonts w:ascii="Times New Roman" w:hAnsi="Times New Roman"/>
          <w:b/>
          <w:color w:val="000000"/>
          <w:sz w:val="20"/>
        </w:rPr>
      </w:pPr>
      <w:bookmarkStart w:id="10" w:name="item_3_quantitative_and_qualitative_disc"/>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Our management recognizes that any disclosure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of June 30, 2026, the end of the period covered by this Quarterly Report. Based on such evaluation, our principal executive officer and principal financial officer concluded that the Company’s disclosure controls and procedures were not effective as a result of a material weakness in internal control over financial reporting as described below.</w:t>
      </w:r>
    </w:p>
    <w:p>
      <w:pPr>
        <w:pStyle w:val="TextBody"/>
        <w:bidi w:val="0"/>
        <w:spacing w:before="240" w:after="283"/>
        <w:jc w:val="left"/>
        <w:rPr>
          <w:rFonts w:ascii="Times New Roman" w:hAnsi="Times New Roman"/>
          <w:sz w:val="20"/>
        </w:rPr>
      </w:pPr>
      <w:r>
        <w:rPr>
          <w:rFonts w:ascii="Times New Roman" w:hAnsi="Times New Roman"/>
          <w:b/>
          <w:color w:val="000000"/>
          <w:sz w:val="20"/>
        </w:rPr>
        <w:t>Material Weakness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did not design and maintain effective controls related to the period-end financial reporting process to ensure adequate segregation of duties, including controls related to account reconciliations and journal entries. Specifically, certain personnel have incompatible duties including the ability to (i) create and post manual journal entries without an independent review and (ii) prepare and review account reconciliations. The material weakness did not result in a misstatement to the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this material weakness could result in a misstatement of substantially all of our accounts or disclosures that would result in a material misstatement of our annual or interim financial statements that would not be prevented or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Plan to Remediate the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remediate the material weakness, we plan to design and implement control activities in response to the risks posed as a result of the lack of segregation of duties related to journal entries and account reconciliations, including general controls over information systems. The material weakness will not be considered remediated until management completes the design and implementation of the measures described above, the controls operate for a sufficient period of time and management has concluded, through testing, that the controls are effective. The measures we have taken to date, and are continuing to design and implement,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(as defined in Rules 13a-15(f) and 15d-15(f) under the Exchange Act) during the quarterly period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Information with respect to legal proceedings is included in Note 10 - </w:t>
      </w:r>
      <w:r>
        <w:rPr>
          <w:rFonts w:ascii="Times New Roman" w:hAnsi="Times New Roman"/>
          <w:i/>
          <w:color w:val="000000"/>
          <w:sz w:val="20"/>
        </w:rPr>
        <w:t>Commitments and Contingencies</w:t>
      </w:r>
      <w:r>
        <w:rPr>
          <w:rFonts w:ascii="Times New Roman" w:hAnsi="Times New Roman"/>
          <w:color w:val="000000"/>
          <w:sz w:val="20"/>
        </w:rPr>
        <w:t xml:space="preserve"> of the Notes to Condensed Consolidated Financial Statements contained in Part I, Item 1 of this Quarterly Report, which is incorporated herein by reference.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231F20"/>
          <w:sz w:val="20"/>
        </w:rPr>
        <w:t>An investment in our common stock involves a high degree of risk. In addition to the risk and uncertainties described under the section titled “Special Note Regarding Forward-Looking Statements,” the risks and uncertainties described below should be carefully considered, together with all of the other information contained in this Quarterly Report, including our condensed consolidated financial statements and related notes and the section titled “Management’s Discussion and Analysis of Financial Condition and Results of Operations”, before deciding to invest in our common stock. If any of the following events occur, our business, financial condition and operating results may be materially adversely affected. In that event, the trading price of our common stock could decline, and our stockholders could lose all or part of their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r>
        <w:rPr>
          <w:rFonts w:ascii="Times New Roman" w:hAnsi="Times New Roman"/>
          <w:i/>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which may make it difficult to evaluate our current business and predict our future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Our operations to date have focused on organizing and staffing our operations, business planning, raising capital, establishing our intellectual property portfolio and conducting preclinical studies and clinical trials of olevaprubart. We have not yet demonstrated an ability to successfully manufacture, obtain marketing approvals for or commercialize olevaprubart. We have no products approved for commercial sale and have not generated any revenue from product sales. Consequently, any predictions about our future success or viability may not be as accurate as they could be if we had a longer operating history.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focused on the discovery and development of innovative drugs for the treatment of various immunological, autoimmune and inflammatory diseases. Our limited operating history, particularly in light of the rapidly evolving drug research and development industry in which we operate and the changing regulatory and market environments we encounter, may make it difficult to evaluate our prospects for future performance. As a result, any assessment of our future performance or viability is subject to significant uncertainty. We will encounter risks and difficulties frequently experienced by early-stage companies in rapidly evolving fields as we seek to transition to a company capable of supporting commercial activities. If we do not address these risks and difficulties successfully, our business will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to incur significant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the significant risk that product candidates will fail to demonstrate adequate efficacy or an acceptable safety profile, gain regulatory approval or become commercially viable. For the six months ended June 30, 2026 and the year ended December 31, 2025, our net losses were $20.8 million and $45.3 million, respectively. As of June 30, 2026, we had an accumulated deficit of $250.9 million. Substantially all of our losses have resulted from expenses incurred in connection with our research and development programs and from general and administrative costs associated with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significant expenses and additional operating losses for the foreseeable future as we seek to advance olevaprubart through clinical development, expand our research and development activities, develop new product candidates, complete clinical trials, seek regulatory approval and, if we receive regulatory approval, commercialize our products. Furthermore, the costs of advancing product candidates into each succeeding clinical phase tend to increase substantially over time. The total costs to advance olevaprubart or any future product candidate to regulatory approval in even a single jurisdiction would be substantial. Because of the numerous risks and uncertainties associated with product development, we are unable to accurately predict the timing or amount of increased expenses or when, or if, we will be able to generate any revenue from the commercialization of any approved products or achieve or maintain profitability. Our expenses will also increase substantially as we operate as a public company following the Merger and add clinical, scientific, operational, financial and management information systems and personnel, including personnel to support our product development and planned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generate any revenue from product sales unless and until we obtain regulatory approvals for olevaprubart and any future product candidates in our desired jurisdictions, successfully manufacture olevaprubart and any future product candidates, and successfully build a commercial organization. These activities will require substantial investment and significant marketing efforts. Our expenses could increase beyond expectations if we are required by the FDA, the EMA, the competent authorities of individual EU Member States or comparable foreign regulatory authorities to perform additional preclinical studies and clinical trials or to modify any of our manufacturing processes or make other changes to olevaprubart or any future product candidates than those that we currently anticipate. As a result, we expect to continue to incur net losses and negative cash flows for the foreseeable future. These net losses and negative cash flows have had, and will continue to have, an adverse effect on our stockholders’ equity and working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build our business, we expect our financial condition and operating results may fluctuate significantly from quarter to quarter and year to year due to a variety of factors, many of which are beyond our control. Accordingly, the results of any particular quarterly or annual period should not be relied on as indications of future operating performance. If we are unable to develop, obtain regulatory approval, and successfully commercialize olevaprubart or any future product candidate either alone or with collaborators, or if revenue from olevaprubart and any future product candidates that receive regulatory approval are insufficient, we will not achieve profitability. Even if we do achieve profitability, we may not be able to sustain or increase profitability. If we are unable to achieve and then maintain profitability, the value of our securities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obtain substantial additional funding to complete the development and any commercialization of olevaprubart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biopharmaceutical product candidates is capital-intensive. We expect to spend substantial amounts to advance olevaprubart and any future product candidate into clinical development and to complete the clinical development of, seek regulatory approvals for and commercialize olevaprubart and any future product candidate, if approved. In addition, as olevaprubart progresses through development and toward commercialization, we will need to make certain milestone payments to HUTCHMED Limited (formerly known as Hutchinson Medipharma Limited) (“Hutchmed”) under a collaboration, option and license agreement with Hutchmed (as amended, the “Hutchmed Agreement”) and tiered royalties from commercial sales of olevaprubart, if approved. We will require additional capital to support our product development efforts and operations, which we may raise through public or private equity or debt financings or other capital sources, which may include strategic collaborations and other strategic arrangements with third parties, to enable us to complete the development and potential commercialization of olevaprubart and any future product candidates.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If we are unable to raise capital when needed or on acceptable terms, we would be forced to delay, reduce or eliminate certain of our research and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have consumed significant amounts of cash since inception. Because the length of time and activities associated with successful development of olevaprubart and any future product candidates are highly uncertain, we are unable to estimate the actual funds we will require for development and any marketing and commercialization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both near- and long-term,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type, number, scope, progress, expansions, results, costs and timing of discovery, preclinical studies and clinical trials of olevaprubart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manufacturing for olevaprubart and any future product candidates, including if we develop our own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obtaining, maintaining and protecting our intellectual property portfolio, including filing, prosecuting, defending and enforcing our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a sales, marketing and distribution infrastructure to commercialize olevaprubart and any future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royalty, milestone or other payments made to our current or future suppliers, collaborators or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the milestone or other payments made to us under any future collaboration or licensing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growing our workforce and retaining and motivating our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results of our commercialization of olevaprubart and any future product candidates, if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products or technologies that we may in-license or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additional internal systems and infrastructure, including operational, financial and management information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stockholders.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and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entirely dependent on the success of olevaprubart for the treatment of AD and AA and for other potential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25, 2025, immediately prior to consummation of the Merger, Legacy Inmagene consummated the Non-OX40 Divestiture controlled by Legacy Inmagene immediately prior to the Merger. Accordingly, our business is entirely dependent on the success of olevaprubart for the treatment of AD and AA and other potential indications. Olevaprubart is currently in Phase 2 development for the treatment of moderate-to-severe AD. We may also develop olevaprubart for other immunological, autoimmune and inflammatory diseases such as asthma, rheumatoid arthritis, and hidradenitis suppurativa. We cannot give any assurance that we will generate preclinical, clinical or other data for olevaprubart for the treatment of AD, AA or other immunological, autoimmune and inflammatory diseases sufficiently supportive to receive regulatory approval, which will be required before olevaprubart can be commercialized. We may, among other things, experience difficulties with patient recruitment, enrollment and retention, quality and provision of materials and supplies necessary to manufacture sufficient quantities of drug product to meet our current or future preclinical study and clinical trial needs on a timely basis, or safety signals or pharmacodynamic, pharmacokinetic or efficacy data that does not align with our target profile for olevaprubart. Olevaprubart will require significant further clinical development, regulatory review and approval, substantial investment, access to sufficient commercial manufacturing capacity, and significant marketing efforts before we can generate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business, including our ability to finance our company and generate any revenue in the future, will primarily depend on the successful development, regulatory approval and commercialization of olevaprubart, which may never occur. If we are unable to develop, or obtain regulatory approval for, or, if approved, successfully commercialize olevaprubart, we may not be able to generate sufficient revenue to continue our business and our business would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preclinical studies or clinical trials that we announce or publish from time to time may not be predictive of future results and may change as more patient data become available and are subject to audit and verification procedures, which could result in material changes to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preclinical studies, clinical trials or planned clinical trials, which is based on a preliminary analysis of then-available data.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From time to time, we may also disclose interim data from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or preliminary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approvability or commercialization of olevaprubart or any future product candidate, and our company in general. In addition, the information we choose to publicly disclose regarding a particular study or clinical trial is based on what is typically extensive information, and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comparable foreign regulatory authorities, disagree with the conclusions reached, our ability to obtain approval for, and commercialize, olevaprubart or any future product candidates may be harmed, which could harm our business, operating results, prospects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results from previous preclinical studies or clinical trials are not necessarily predictive of future clinical trial results, and interim results of a clinical trial are not necessarily indicative of final results. Olevaprubart or any future product candidates may fail to show the desired safety and efficacy in clinical development despite positive results in preclinical studies of such product candidates or having successfully advanced through initial clinical trials.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are expensive, time-consuming, difficult to design and implement, and have an uncertain outcome. Further, we may encounter substantial delays in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trials and manufacturing of olevaprubart and any future product candidates are subject to extensive and rigorous review and regulation by numerous government authorities in the United States and in other countries where we intend to test and market olevaprubart and any future product candidates. Before obtaining regulatory approvals for the commercial sale of any of olevaprubart or any future product candidates, we must demonstrate through lengthy, complex and expensive preclinical testing and clinical trials that such product candidates are both safe and effective for use in each target indication. In particular, because olevaprubart is subject to regulation as a biological drug product, we will need to demonstrate that it is safe, pure and potent for use in its target indications. Olevaprubart and each future product candidates must demonstrate an adequate risk versus benefit profile in its intended patient population and for its intended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is expensive and takes many years to complete, and is subject to uncertainty. Our planned clinical trials may not be conducted as planned or completed on schedule, if at all. Delays and failures can occur at any time during the clinical trial process. Even if our future clinical trials are completed as planned, their results may not support the safety and effectiveness of olevaprubart or any future product candidates for their targeted indications or support continued clinical development of such product candidates. Our future clinical trial results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our planned trials are successfully completed, the FDA or comparable foreign regulatory authorities may not interpret the results as we do, and more trials could be required before we submit olevaprubart or any future product candidates for approval.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olevaprubart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completed any pivotal clinical trials required for the approval of olevaprubart. We may experience delays in conducting any clinical trials, and we do not know whether our clinical trials will begin on time, will need to be redesigned, will recruit and enroll patients on time or have data readouts or be completed on schedule, or at all. Events that may prevent successful or timely commencement, readouts, and completion of clinical development and preclinical studies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sufficient preclinical, toxicology, or other in vivo or in vitro data to support the initiation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sufficiently developing, characterizing or controlling a manufacturing process suitable for advanced clinical trials, or failure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with the FDA, or other comparable foreign regulatory authorities as to the design or implementation of our clinical trials, or failure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failure to obtain regulatory approval to commence a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failure to reach an agreement on acceptable terms with clinical trial sites or prospective CROs the terms of which can be subject to extensive negotiation and may vary significantly among different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failure to obtain institutional review board (“IRB”) approval or positive ethics committee opinion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failure to recruit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failure to have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CROs or other third parties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perform in accordance with the FDA’s Good Clinical Practice (“GCP”) requirements, or applicable regulatory guidelines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failure due to restrictions or other mandated requirements imposed by FDA or other regulatory bodies on the conduct of the clinical development program based on either internal or external data, such as emerging data with other molecules, either in development or approved, that target the same immunological pathway as olevaprubart;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serious, life-threatening diseases of the patients enrolled in our clinical trials, who may die or suffer adverse medical events during the course of the trials for reasons that may not be related to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in addressing patient safety concerns that arise during the course of a trial, including occurrence of adverse events associated with olevaprubart or any future product candidate that are viewed to outweigh its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add a sufficient number of clinical trial sites;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manufacture sufficient quantities of olevaprubart or any future product candidates for use in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our ability to receive marketing approval or commercialize olevaprubart or any future product candidates or significantly increase the cost of such trials,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changes in regulatory requirements or guidance, or receive feedback from regulatory authorities that requires us to modify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olevaprubart or any future product candidates may produce negative or inconclusive results, and we may decide, or regulators may require us, to conduct additional clinical trials or abandon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olevaprubart or any future product candidates may be larger than we anticipate, enrollment in these clinical trials may be slower than we anticipate or participants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or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investigators might have to suspend or terminate clinical trials of olevaprubart or any future product candidates for various reasons, including non-compliance with regulatory requirements, a finding that olevaprubart or any future product candidates have undesirable side effects or other unexpected characteristics,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suffered by clinical trial participants that may ultimately be determined to be unrelated to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and safety information from other clinical trials of other product candidates also targeting OX40;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olevaprubart or any future product candidates may be greater than we anticipate and we may elect not to cover the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olevaprubart or any future product candidates or other materials necessary to conduct clinical trials of olevaprubart or any future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may revise the requirements for approving olevaprubart or any future product candidates, or such requirements may not be as we anticipate;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collaborators that conduct clinical trials may face any of the above issues, and may conduct clinical trials in ways they view as advantageous to them but that are suboptimal for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olevaprubart or any future product candidates beyond those that we currently contemplate, if we are unable to successfully complete clinical trials of olevaprubart or any future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unplanned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olevaprubart or any future product candidates or 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or ethics committees of the institutions in which such trials are being conducted, by the Data Safety Monitoring Board (“DSMB”) for such trial or by the FDA or comparable foreign regulatory authorities. These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Olevaprubart will require extensive clinical testing before we are prepared to submit a biologics license application (“BLA”) or marketing authorization application (“MAA”) for regulatory approval. We cannot predict with any certainty if or when we might complete the clinical development for olevaprubart or any future product candidates and submit a BLA or MAA for regulatory approval of olevaprubart or any future product candidates or whether any such BLA or MAA will be approved. We may also seek feedback from the FDA, or other comparable foreign regulatory authorities on our clinical development program, and the FDA or such other comparable foreign regulatory authorities may not provide such feedback on a timely basis, or such feedback may not be favorable, which could further delay our development of olevaprubart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cannot predict with any certainty whether or when we might complete a given clinical trial. If we experience delays in the commencement or completion of our clinical trials, or if we terminate a clinical trial prior to completion, the commercial prospects of olevaprubart or any future product candidates could be harmed, and our ability to generate revenue from olevaprubart or any future product candidates may be delayed. In addition, any delays in our clinical trials could increase our costs, slow down the development and approval process and jeopardize our ability to commence product sales and generate revenue. Any of these occurrences may harm our business, financial condition and results of operations. In addition, many of the factors that cause, or lead to, a delay in the commencement or completion of clinical trials may also ultimately lead to the denial of regulatory approval of olevaprubart or any future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Olevaprubart or any future product candidates may cause serious adverse events (“SAEs”) or undesirable side effects or have other properties that may delay or prevent regulatory approval, cause us to suspend or discontinue clinical trials, limit the commercial profile of an approved label,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Manipulation of the immune system via therapeutic agents can result in a spectrum of immunosuppression depending on the target and the disease being treated. In general terms immunosuppression has been associated with increased risk of infection and, with long term immunosuppression, malignancies. The risk of these types of events is dependent both on the breadth of immunosuppression as well as the disease and population in which it is being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with all protein-based therapies administered either intravenously or subcutaneously there is also the risk of injection site reactions and systemic hypersensitivity reactions, with cases of anaphylaxis reported with some such agents. The incidence and severity of these reactions vary depending on the characteristics of both the therapeutic agent, its target, and the vehicle solution in which the therapy is administered.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considering other therapies that target the OX40-OX40L pathway, infections including serious infections, injection site reactions, chills and pyrexia, hypersensitivity reactions, oral and gastrointestinal ulceration, and malignancies including Kaposi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Sarcoma have been reported. To date, a causal association between the therapies targeting the pathway and the events has not been established.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may be undesirable side effects and adverse events associated with olevaprubart or any future product candidates. Undesirable side effects or adverse events that may be caused by olevaprubart or any future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data reported to date from our Phase 1 and Phase 2a clinical trials indicate that olevaprubart was generally well tolerated, there remains a risk that clinical trial results could reveal high and unacceptable severity and prevalence of previously unreported side effects or unexpected characteristics. Any such findings could cause delays in completion or cancellation of our clinical trials or require us to abandon or limit our development of olevaprubart.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treatment-related side effects or deaths arise in the development of olevaprubart or any future product candidates, we, the FDA, the IRBs or ethics committees at the institutions in which our studies are conducted, DSMB or comparable foreign regulatory authorities could suspend or terminate our clinical trials or the FDA or comparable foreign regulatory authorities could order us to cease clinical trials or deny approval of olevaprubart or any future product candidates for any or all targeted indications. Further undesirable side effects, dose-limiting toxicity events, or deaths in clinical trials with olevaprubart or any future product candidates may cause the FDA or comparable foreign regulatory authorities to place a clinical hold on the associated clinical trials, to require additional studies, dose de-escalation, or additional protocol amendments, or otherwise to delay or deny approval of olevaprubart or any future product candidates for any or all targeted indications. Treatment-related side effects could also affect site initiation,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subject to various external factors beyond our control that may cause delays or complications.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completion of clinical trials in accordance with their protocols depends, among other things, on our ability to enroll a sufficient number of patients who remain in the trial until its conclusion. We may not be able to initiate or continue clinical trials for olevaprubart or any future product candidates if we are unable to locate and enroll a sufficient number of eligible patients to participate in these trials to such trials’ conclusion as required by the FDA or other comparable foreign regulatory authorities. We may experience difficulty in patient enrollment in our clinical trials for a number of reasons. The enrollment of patients depends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 required for analysis of the trial’s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new products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 for participation in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not remain in the trial through the completion of evaluation.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Competing with numerous ongoing trials and established therapies poses a challenge in recruiting patients. Our clinical trials may also compete with other clinical trials of product candidates that are targeting the same indications as olevaprubart or any future product candidates, and this competition could reduce the number and types of patients available to us, because some patients who might have opted to enroll in our trials may instead opt to enroll in a trial being conducted by one of our competitors. Additionally, the number of qualified clinical investigators is limited, so we may conduct some of our clinical trials at the same clinical trial sites that some of our competitors use, which will reduce the number of patients who are available for our clinical trials at such clinical trial site. Recent announcements of clinical trial plans by various companies targeting immunological, autoimmune and inflammatory diseases could intensify future competition for investigators and patients. Failure to enroll a sufficient number of patients promptly could lead to delays or failure in completing our trials, hindering the development and commercialization of olevaprubart or any future product candidates within certain patient subgroups or altogether.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product candidates that may present a greater commercial opportunity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upon our ability to identify, develop and commercialize product candidates. A key element of our strategy is to develop olevaprubart for the treatment of AD, AA and other potential indications targeting immunological, autoimmune and inflammatory diseases. We are seeking to do so through our internal research and development capabilities and may also explore additional strategic collaborations for the discovery of new product candidates. Research programs to identify product candidates require substantial technical, financial and human resources, whether or not any product candidates are ultimately identified. In addition, targets for different immunological, autoimmune and inflammatory diseases may require changes to the manufacturing processes of our CMOs or require us to identify new CMOs to manufacture our product candidates, which may slow down development of or make it impossible to manufacture our product candidates. Our research programs may initially show promise in identifying potential product candidates, yet fail to yield product candidates for clinical development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methodology or technology platform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alternatives that render our product candidates obsolete or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choosing to cease development if we determine that clinical results do not show promise;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be shown to have harmful side effects or other characteristics that indicate it is unlikely to be effective or otherwise does not meet applicable regulatory criteria;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not be accepted as safe and effective by patients, the medical community or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limited resources, we must choose to pursue and fund the development of specific types of treatment, or treatment for a specific type of immunological, autoimmune and inflammatory disease, and we may forego or delay pursuit of opportunities with certain product candidates or for indications that later prove to have greater commercial potential. Our estimates regarding the potential market for olevaprubart or any future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occur, we may be forced to abandon or delay our development efforts with respect to a particular product candidate or indication or fail to develop a potentially successful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preclinical programs may experience delays or may never advance to clinical trials, which would adversely affect our ability to obtain regulatory approvals or commercialize these programs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obtain FDA or comparable foreign regulatory authority approval to market a new biological product we must demonstrate proof of safety, purity and potency, or efficacy, in humans. To meet these requirements, we will have to conduct adequate and well-controlled clinical trials. Olevaprubart is our only product candidate in clinical development. Before we can commence clinical trials for any future product candidates, we must complete extensive preclinical testing and studies that support Investigational New Drug applications (“INDs”) in the United States and comparable applications outside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of the timely completion or outcome of our preclinical testing and studies and cannot predict if the FDA or comparable foreign regulatory authorities will accept our proposed clinical programs or if the outcome of our preclinical testing and studies will ultimately support the further development of our programs. As a result, we may not submit INDs or similar applications for our preclinical programs within our anticipated timelines, if at all, and submission of INDs or similar applications may not result in the FDA or comparable foreign regulatory authorities allowing clinical trials to begin.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for a product candidate may be delayed by many factors, including,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sufficient preclinical or other in vivo or in vitro data to support the initiation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regulatory authorities on study design;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comparable foreign regulatory authorities, not allowing us to rely on previous findings of safety and efficacy for other similar but approved products and published scientific literature.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standards for preclinical assessment are evolving and may change rapidly, even if we reach an agreement with the FDA on a pre-IND proposal for a future product candidate, the FDA may not accept the IND submissions as presented and thus, our clinical trial timelines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affected populations for olevaprubart or any future product candidates may be smaller than we or third parties currently project, which may affect the addressable markets for olevaprubart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select the indications for the development of olevaprubart and any future product candidates based on a number of factors, including the estimated patient populations where we believe there is a meaningful addressable market opportunity. However, our projections of the number of people who have the diseases we are seeking to treat, as well as the subset of people with these diseases who have the potential to benefit from treatment with olevaprubart or any future product candidates, are estimates based on our knowledge and understanding of these diseases. The total addressable market opportunity for olevaprubart or any future product candidates will ultimately depend upon a number of factors, including the diagnosis and treatment criteria included in the final label, if approved for sale in specified indications, acceptance by the medical community, patient access, alternative therapies and product pricing and reimbursement. For example, we intend to prioritize evaluation and seeking approval of olevaprubart for the treatment of AD and AA. We may also explore additional indications with olevaprubart such as asthma, rheumatoid arthritis, and hidradenitis suppurativa.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our incidence and prevalence estimates should be viewed with caution. Further, our data and statistical information, including estimates derived from them, may differ from information and estimates made by our competitors or from current or future studies conducted by independent 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the last several years, the U.S. government has shut down several times and certain regulatory agencies, such as the FDA and the SEC, have had to furlough critical FDA, SEC and other government employees and stop critical activities.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government shutdown occurs or if the FDA or other federal agencies otherwise experience resource constraints, it could significantly impact the ability of the FDA or other federal agencies to timely review and process our regulatory submissions, which could have a material adverse effect on our business. Further, any future government shutdowns or employee terminations or resignations at the SEC could impact our ability to access the public markets and obtain necessary capital in order to properly capitalize and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olevaprubart or any future product candidates. Some of these efforts have manifested to date in the form of personnel cuts and measures that could impact the FDA’s ability to hire and retain key personnel, which could result in delays or limitations on our ability to obtain guidance from the FDA on olevaprubart or any future product candidates we develop and obtain the requisite regulatory approvals in the future. There is uncertainty as to whether we will be materially and negatively impacted by governmental orders, regulations, policies or guidance, or disruptions to the normal operations of government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Recent policy discussions have included potential targeted tariffs or other trade measures specifically aimed at pharmaceutical products and ingredients as part of broader healthcare cost control or national security initiatives.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the active pharmaceutical ingredients (“APIs”) and our olevaprubart product candidate are manufactured in China by a single manufacturer. The process uses proprietary know-how that would require expertise, expense and time to transfer, and we have no qualified backup. Our current supply is insufficient for the Phase 2b study, requiring additional manufacturing runs that may be delayed or more costly. We also rely on specialized laboratory equipment, supplies, materials, and precursor compounds, all or part of which we believe may be ultimately sourced from multiple countries outside the United States, to advance our research and development efforts. This dependence exposes us to geopolitical, trade, tariff, and sanctions risks, including actions that could disrupt or restrict work with Chinese entities. Any supply disruption, delay or cost increase could materially delay our trials and increase program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Manufacturing and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breach our current or future licenses or other intellectual property-related agreements for olevaprubart or any future product candidates or otherwise experience disruptions to our business relationships with our current or future licensors, we could lose the ability to continue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and until we acquire and identify any new product candidates, our business will rely solely on our ability to develop and commercialize olevaprubart. We license rights to olevaprubart from Hutchmed pursuant to the Hutchmed Agreement and we also license certain rights from WuXi Biologics (Hong Kong) Limited (“WuXi Biologics”) to manufacture a component of olevaprubart pursuant to the license agreement (the “Cell Line License Agreement”) and may enter into future licenses or other intellectual property-related agreements for olevaprubart or any future product candidates. Our licenses may not cover all intellectual property rights owned or controlled by our licensors or other third parties and relevant to olevaprubart or any future product candidates. If we have not obtained a license to all intellectual property rights owned or controlled by our licensors or other third parties that are relevant to olevaprubart or any future product candidate, we may need to obtain additional licenses to such intellectual property rights which may not be available on an exclusive basis, on commercially reasonable terms or at all. In addition, if our licensors breach such agreements, we may not be able to enforce such agreements against our licensors or their parent entity or affiliates. Under our Hutchmed Agreement, in exchange for licensing to us the right to develop and commercialize olevaprubart, Hutchmed will be eligible to receive from us certain milestone payments and tiered royalties from commercial sales of olevaprubart, if approved. In addition, under our Cell Line License Agreement, if we manufacture all of our commercial supplies of certain therapeutic products produced through the use of the cell line licensed by WuXi Biologics under the Cell Line License Agreement (the “WuXi Biologics Licensed Products”)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Our license agreements also require us to comply with other obligations, including development and diligence obligations, providing certain information regarding our activities with respect to olevaprubart or maintaining the confidentiality of information we receive from our licensors. For example, under our Hutchmed Agreement, we are required to use commercially reasonable efforts to conduct the clinical, regulatory and other activities necessary to develop and commercialize olevaprubart in the U.S., EU and mainland China, and Hutchmed may terminate the agreement if we materially breach these obligations or if we fail to conduct any material development or commercialization with respect to olevaprubart for a continuous period of longer than 24 months, subject to certain exceptions. Any future license or intellectual property-related agreements may also contain similar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meet any of our obligations under our license agreements, our licensors may have the right to terminate our licenses and, upon the effective date of such termination, have the right to re-obtain the licensed technology and intellectual property. If any of our licensors terminates any of our licenses, we will lose the right to develop and commercialize our applicable product candidates and other third parties may be able to market product candidates similar or identical to ours. In such case, we may be required to provide a grant back license to the licensors of our own intellectual property with respect to the terminated products. For example, if our Hutchmed Agreement terminates for any reason, we are required to grant Hutchmed an exclusive license to certain of our intellectual property rights that cover inventions and know-how owned or controlled by us or are used or applied as of the date of such termination in our development, manufacture or commercialization of olevaprubart or any future product candidates incorporating a licensed compound. While we would expect to exercise all rights and remedies available to us, including seeking to cure any breach by us, and otherwise seek to preserve the intellectual property rights licensed to us, we may not be able to do so in a timely manner, at an acceptable cost or at all. In particular, some of the milestone payments are payable upon our product candidates reaching development milestones before we have commercialized, or received any revenue from, sales of such product candidate, and we cannot guarantee that we will have sufficient resources to make such milestone payments. Any uncured, material breach under the license agreements could result in our loss of exclusive rights and may lead to a complete termination of our rights to the applicable product candidate. Any of the foregoing could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revenue and achieve profitability from third party licensed product candidates also depends upon our ability to obtain and retain exclusivity on the licensed product candidates and related product candidates controlled by the licensor.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disputes may further arise regarding intellectual property subject to a license agreement,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technology and processes infringe, misappropriate or otherwise violate intellectual property of the licensor that is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licenses from Hutchmed and WuXi Biologics are limited to intellectual property rights owned or controlled by such licensors. To the extent any of our licensors lose ownership of or control over any of the intellectual property rights we license from them for any reason, we will no longer be licensed to such intellectual property rights to use, develop and otherwise commercialize our related product candidates. Any of the foregoing would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olevaprubart, or any other product candidates, which could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disruptions to our business relationships with our licensors, we could lose the ability to continue to source, develop and commercialize olevaprubart or any future product candidates including ultimately losing our rights to such product candidates, which would have a material adverse effect on our business, financial conditions,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our licensors or patent owners of our in-licensed patent rights to prosecute and maintain certain patents and patent applications that are material to our business. Any failure by our licensors or such patent owners to effectively protect these patent rights could adversely impact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certain patent rights for olevaprubart from Hutchmed and may in the future license other patent rights from third parties. As a licensee of third parties, we may rely on these third parties to file and prosecute patent applications and maintain patents and otherwise protect the licensed intellectual property under certain of our license agreements. In addition, we may not have primary control over these activities for certain of our patents or patent applications and other intellectual property rights that we may jointly own with certain of our licensors. We cannot be certain that these patents and patent applications have been or will be prepared, filed, prosecuted or maintained by such third parties in compliance with applicable laws and regulations, in a manner consistent with the best interests of our business, or in a manner that will result in valid and enforceable patents or other intellectual property rights that cover olevaprubart or other product candidates. If our licensors fail to prepare, prosecute or maintain such patent applications and patents, or lose rights to those patent applications or patents, the rights we have licensed may be reduced or eliminated, and our right to develop and commercialize olevaprubart or other product candidates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license agreements with certain of our licensors, the licensors may have the right to control enforcement of our licensed patents or defense of any claims asserting the invalidity or unenforceability of these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permitted to pursue the enforcement or defense of our licensed patents, we will require the cooperation of our licensors and any applicable patent owners and such cooperation may not be provided to us.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we lose any of our licensed intellectual property, our right to develop and commercialize olevaprubart or other product candidates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rights to develop and commercialize olevaprubart are subject, in part, to the terms and conditions of licenses granted to us by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licenses to certain patent rights and other intellectual property from third parties that are important or necessary to the development of olevaprubart. These and other licenses may not provide exclusive rights to use such intellectual property in all relevant fields of use and in all territories in which we may wish to develop or commercialize olevaprubart. As a result, we may not be able to prevent competitors from developing and commercializing competitive product candidates in territories included in all our licenses.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licensors may have relied on third-party consultants or collaborators or on funds from third parties such that our licensors are not the sole and exclusive owners of the patents we in-license. If other third parties have ownership rights or other rights to our in-licensed patents, they may be able to license such patents to our competitors, and our competitors could market competing products. Any of these events could have a material adverse effect on our competitive position,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spite of our best efforts, our licensors might conclude that we have materially breached our license agreements and might therefore terminate the license agreements, thereby removing our ability to develop and commercialize olevaprubart. If such licenses are terminated, we may be required to seek alternative in-license arrangements, which may not be available on commercially reasonable terms or at all, or may be non-exclusive. If these in-licenses are terminated, or if the underlying patents fail to provide the intended exclusivity, we may need to modify or cease the development, manufacture and commercialization of olevaprubart, and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for the manufacture of olevaprubart for development, and expect to continue to do so for the foreseeable future. Our current and anticipated future dependence upon third parties for the manufacture of olevaprubart or any future product candidates increases the risk that we will not have sufficient quantities of olevaprubart or any future product candidates or such quantities at an acceptable cost, which could delay, prevent or impair our development or commercialization efforts and could impact future profit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and have no plans to build our own clinical or commercial manufacturing capabilities. We rely, and expect to continue to rely, on third parties for the manufacture of olevaprubart and any future product candidates and related materials for development, as well as for commercial manufacture if olevaprubart or any future product candidates receives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olevaprubart are currently provided by a single-source supplier, WuXi Biologics, and we expect to rely on this supplier for the foreseeable future. Contract manufacturing organizations may become subject to legislation, trade restrictions, sanctions, tariffs and other regulatory requirements by the U.S. government, which could restrict or even prohibit our ability to work with such entities or otherwise substantially increase our manufacturing costs, thereby potentially disrupting the supply of material to us or requiring us to scale back our manufacturing activities. For example, the United States has recently passed legislation, namely the BIOSECURE Act, to prohibit U.S. federal executive agencies from procuring or obtaining any biotechnology equipment or service produced or provided by a “biotechnology company of concern” or entering into or renewing a contract, loan, or grant with an entity that uses such biotechnology equipment or equipment. Specifically, on December 18, 2025, the President signed the National Defense Authorization Act (“NDAA”)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The Office of Management and Budget will issue a list of BCCs no later than mid-December 2026. Companies designated as a BCC shall include (i) certain entities that are identified on the U.S. Department of Defense’s annual List of Chinese Military Companies, also known as the 1260H List, (ii) companies that the Office of Management and Budget designates as a BCC based on certain criteria, and (iii) certain subsidiaries or parent or successor entities of the foregoing. There is a “safe harbor” provision in the BIOSECURE Act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 agreement entered into before the applicable effective date. Given the BIOSECURE Act, we may be restricted in our ability to work with certain Chinese biotechnology companies to the extent we would contract with, or otherwise receive funding from, the U.S. government.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current administration’s recent and evolving tariffs imposed on imports from China as well as China’s retaliatory tariffs on U.S. goods may significantly increase our manufacturing costs and may further disrupt our supply chain and reduce our competitiveness in the marketplace. Any additional U.S. executive action, legislative action or potential sanctions with China or increased tariffs imposed on Chinese imports could materially impact entities that work with Chinese biotechnology companies. U.S. executive agencies have the ability to designate entities and individuals on various governmental prohibited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do not have complete control over all aspects of the manufacturing process and are dependent on our contract manufacturing partners for compliance with current Good Manufacturing Practice (“cGMP”) regulations for manufacturing both drug substances and finished drug product. Third-party manufacturers may not be able to comply with cGMP regulations or similar regulatory requirements outside of the United States. If our contract manufacturers do not successfully manufacture material that conforms to our specifications and the strict regulatory requirements of the FDA and others, they will not secure and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olevaprubart or any future product candidates, if approved. Any replacement of our manufacturers could require significant effort and expertise because there may be a limited number of qualified replacements, and we may not be able to enter into new manufacturing arrangements on commercially reasonable terms or at all. In some cases, the technical skills or technology required to manufacture olevaprubart or any future product candidates may be unique or proprietary to the original manufacturer and we may have difficulty transferring such skills or technology to another third-party and a feasible alternative may not exist. These factors would increase our reliance on our third-party manufacturers or require us to obtain a license from such manufacturers in order to have another third-party manufacture olevaprubart or any future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or a third party’s failure to execute on our manufacturing requirements on commercially reasonable terms and timelines, or at all, and comply with cGMP requirements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meet our drug specifications and quality requirements consistently;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cGMP or similar foreign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negotiate manufacturing agreements with third parties under commercially reasonable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single source manufacturers for drug substances and drug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 source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misappropriation of proprietary information, including our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study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any long-term commitments or supply agreements with our third-party manufacturers and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under our Cell Line License Agreement with WuXi Biologics, if we manufacture all of our commercial supplies with a manufacturer other than WuXi Biologics or its affiliates, we are required to make royalty payments to WuXi Biologics in an amount equal to a fraction of a single digit percentage of global net sales manufactured by the manufacturer other than WuXi Biologics or its affiliates.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of our suppliers may experience disruption to their respective supply chain due to the effects of macroeconomic conditions,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 certain active pharmaceutical ingredients, drug product and certain other research materials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If we are unable to obtain our active pharmaceutical ingredients, drug product or other certain research materials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conduct, supervise and monitor our discovery research, preclinical studies and clinical trials. If third parties do not satisfactorily carry out their contractual duties or fail to meet expected deadlines, the development of olevaprubart or any future product candidates may be delayed or subject to increased costs, each of which may have an adverse effect on our business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the ability to independently conduct certain discovery research, preclinical studies and clinical trials for olevaprubart or any future product candidates. We rely on third parties, including CROs, academic institutions and clinical trial sites, to ensure the proper and timely conduct of our preclinical studies and clinical trials, and we expect to have limited influence over their actual performance. We rely upon these third parties to monitor and manage data for our clinical programs, as well as the execution of future nonclinical studies. We expect to control only certain aspects of our third parties’ activities. Nevertheless, we will be responsible for ensuring that each of our preclinical studies or clinical trials are conducted in accordance with the applicable protocol, legal, regulatory and scientific standards and our reliance on the third parties does not relieve us of our regulatory responsibilities.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third parties will be required to comply with the good laboratory practices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third parties to conduct GLP-compliant preclinical studies and GCP-compliant clinical trials, we remain responsible for ensuring that each of our GLP preclinical studies and clinical trials is conducted in accordance with its investigational plan and protocol and applicable laws and regulations, and our reliance on the third parties does not relieve us of our regulatory responsibilities. If we or our third parties fail to comply with GCPs, the clinical data generated in our clinical trials may be deemed unreliable and the FDA or applicable foreign authorities may require us to perform additional clinical trials before approving our marketing applications. Accordingly, if our third parties fail to comply with these regulations or fail to recruit a sufficient number of participants or ensure the collection of requisite data by clinical sites, we may be required to enroll additional participants or repeat clinical trials, which would delay the marketing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will have agreements governing their activities, our third parties will not be our employees, and we will not control whether or not they devote sufficient time and resources to our future clinical and nonclinical programs. These third parties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third parties, which may reduce our trade secret protection and allow our potential competitors to access and exploit our proprietary technology. If our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which could disrupt our clinical timelines, which could have a material adverse impact on our business, prospects, financial condition, and results of operations. If our relationship with these third parties terminates, we may not be able to enter into arrangements with alternative third parties or do so on commercially reasonable terms. Switching or adding additional third parties can involve substantial cost and requires management time and focus. In addition, there is a natural transition period when a new third party commences work. As a result, delays occur, which can negatively impact our ability to meet our desired clinical development timelines. Though we intend to carefully manage our relationships and contracts with our third parties, we may encounter challenges or delays in the future and we cannot make assurances that these delays or challenges will not have a negative impact on our business,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refusal to accept or rejection, of our marketing applications by the FDA or applicable foreign authorities and may ultimately lead to the denial of marketing approval of olevaprubart or any future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may in the future enter into, collaboration agreements and strategic alliances to maximize the potential of olevaprubart and any future product candidates, and we may not realize the anticipated benefits of such collaborations or alliances. We expect to continue to form collaborations in the future with respect to olevaprubart and any future product candidates, but may be unable to do so or to realize the potential benefits of such transactions, which may cause us to alter or delay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the Hutchmed Agreement pursuant to which we collaborated with Hutchmed with respect to certain research and development activities, including related to olevaprubart. We may also form or seek further strategic alliances, create joint ventures or collaborations, or enter into additional licensing arrangements with third parties that we believe will complement or augment our development and commercialization efforts with respect to olevaprubart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collaborations are subject to numerous risks, which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 and may not commit sufficient efforts and resources, or may misapply those efforts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olevaprubart or any future product candidates or may elect not to continue or renew development or commercialization of such product candidates based on clinical trial results or changes in their strategic focus;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provide insufficient resources to, or modify or stop clinical trials for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develop or acquire products outside of the collaboration that compete directly or indirectly with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olevaprubart or any future product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and personnel to pursue further development or commercialization of olevaprubart or any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olevaprubart or any future product candidates that results from our collaborating with them, and in such cases, we may not have the exclusive right to commercialize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face significant competition in seeking appropriate strategic partners and the negotiation process is time-consuming and complex. We may not be successful in our efforts to establish a strategic partnership or other alternative arrangements for olevaprubart or any future product candidates because they may be deemed to be at too early of a stage of development for collaborative effort and third parties may not view olevaprubart or any future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For example, under our Hutchmed Agreement, Hutchmed has a right of first negotiation with respect to certain commercialization activities for our licensed products thereunder in mainland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Company. As a result, we may not be able to negotiate collaborations on a timely basis, on acceptable terms, or at all. In addition, we may face regulatory obstacles in completing such transactions. If we are unable to do so, we may have to reduce or delay the development of olevaprubart or any future product candidate,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olevaprubart in one or more indications or any future product candidates or bring them to market and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development of olevaprubart or any future product candidates. If we are unable to successfully obtain rights to required third-party intellectual property or to maintain the existing intellectual property rights we have, we may have to abandon development of such product candidates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seek to in-license third-party technologies to enhance olevaprubart or any future product candidates and we may be unable to in-license such rights at a reasonable cost, on reasonable terms or at all,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olevaprubart or any future product candidates could delay the development and commercialization of such product candidates in certain geographies or indications or limit our ability to discover and develop new product candidates, which could harm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substantial competition from other pharmaceutical and biotechnology companies, and our operating results may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If we successfully develop and commercialize olevaprubart or any future product candidate, we and any future collaborators will face significant competition from major pharmaceutical companies, specialty pharmaceutical companies and biotechnology companies worldwide. Many of the entities developing and marketing potentially competing products have significantly greater financial resources and expertise than we do in research and development, manufacturing, preclinical testing, conducting clinical trials, obtaining regulatory approvals and commercialization. Even if we are able to successfully develop and commercialize a product, our commercial opportunity will be reduced or eliminated if our competitors develop and commercialize products that are more effective, have fewer side effects, are more convenient or are less expensive than our product.</w:t>
      </w:r>
    </w:p>
    <w:p>
      <w:pPr>
        <w:pStyle w:val="TextBody"/>
        <w:bidi w:val="0"/>
        <w:spacing w:before="240" w:after="283"/>
        <w:jc w:val="left"/>
        <w:rPr>
          <w:rFonts w:ascii="Times New Roman" w:hAnsi="Times New Roman"/>
          <w:sz w:val="20"/>
        </w:rPr>
      </w:pPr>
      <w:r>
        <w:rPr>
          <w:rFonts w:ascii="Times New Roman" w:hAnsi="Times New Roman"/>
          <w:color w:val="000000"/>
          <w:sz w:val="20"/>
        </w:rPr>
        <w:t>We are developing olevaprubart for the treatment of moderate-to-severe AD. The key competitive factors affecting the success of olevaprubart, if approved, are likely to be efficacy, safety and tolerability, convenience, presentation, price, the level of generic competition and the availability of reimbursement from government and other third-party payors. There are several approved products for moderate-to-severe AD, such as DUPIXENT</w:t>
      </w:r>
      <w:r>
        <w:rPr>
          <w:rFonts w:ascii="Times New Roman" w:hAnsi="Times New Roman"/>
          <w:color w:val="000000"/>
          <w:sz w:val="13"/>
        </w:rPr>
        <w:t xml:space="preserve">® </w:t>
      </w:r>
      <w:r>
        <w:rPr>
          <w:rFonts w:ascii="Times New Roman" w:hAnsi="Times New Roman"/>
          <w:color w:val="000000"/>
          <w:sz w:val="20"/>
        </w:rPr>
        <w:t>(dupilumab), an IL-4Rα mAb marketed by Sanofi/Regeneron, ADBRY</w:t>
      </w:r>
      <w:r>
        <w:rPr>
          <w:rFonts w:ascii="Times New Roman" w:hAnsi="Times New Roman"/>
          <w:color w:val="000000"/>
          <w:sz w:val="13"/>
        </w:rPr>
        <w:t xml:space="preserve">® </w:t>
      </w:r>
      <w:r>
        <w:rPr>
          <w:rFonts w:ascii="Times New Roman" w:hAnsi="Times New Roman"/>
          <w:color w:val="000000"/>
          <w:sz w:val="20"/>
        </w:rPr>
        <w:t>(tralokinumab-ldrm), an IL-13 mAb marketed by Leo Pharmaceuticals, EBGLYSS</w:t>
      </w:r>
      <w:r>
        <w:rPr>
          <w:rFonts w:ascii="Times New Roman" w:hAnsi="Times New Roman"/>
          <w:color w:val="000000"/>
          <w:sz w:val="13"/>
        </w:rPr>
        <w:t xml:space="preserve">TM </w:t>
      </w:r>
      <w:r>
        <w:rPr>
          <w:rFonts w:ascii="Times New Roman" w:hAnsi="Times New Roman"/>
          <w:color w:val="000000"/>
          <w:sz w:val="20"/>
        </w:rPr>
        <w:t>(lebrikizumab-lbkz), an IL-13 mAb marketed by Eli Lilly and NEMLUVIO</w:t>
      </w:r>
      <w:r>
        <w:rPr>
          <w:rFonts w:ascii="Times New Roman" w:hAnsi="Times New Roman"/>
          <w:color w:val="000000"/>
          <w:sz w:val="13"/>
        </w:rPr>
        <w:t xml:space="preserve">® </w:t>
      </w:r>
      <w:r>
        <w:rPr>
          <w:rFonts w:ascii="Times New Roman" w:hAnsi="Times New Roman"/>
          <w:color w:val="000000"/>
          <w:sz w:val="20"/>
        </w:rPr>
        <w:t>(nemolizumab-ilto), an IL-31 mAb marketed by Galderma Laboratories, L.P. There are several approved treatments that target JAK1 or JAK2 to treat AD, including CIBINQO</w:t>
      </w:r>
      <w:r>
        <w:rPr>
          <w:rFonts w:ascii="Times New Roman" w:hAnsi="Times New Roman"/>
          <w:color w:val="000000"/>
          <w:sz w:val="13"/>
        </w:rPr>
        <w:t>®</w:t>
      </w:r>
      <w:r>
        <w:rPr>
          <w:rFonts w:ascii="Times New Roman" w:hAnsi="Times New Roman"/>
          <w:color w:val="000000"/>
          <w:sz w:val="20"/>
        </w:rPr>
        <w:t>(abrocitinib) marketed by Pfizer, RINVOQ</w:t>
      </w:r>
      <w:r>
        <w:rPr>
          <w:rFonts w:ascii="Times New Roman" w:hAnsi="Times New Roman"/>
          <w:color w:val="000000"/>
          <w:sz w:val="13"/>
        </w:rPr>
        <w:t xml:space="preserve">® </w:t>
      </w:r>
      <w:r>
        <w:rPr>
          <w:rFonts w:ascii="Times New Roman" w:hAnsi="Times New Roman"/>
          <w:color w:val="000000"/>
          <w:sz w:val="20"/>
        </w:rPr>
        <w:t>(upadacitinib) marketed by AbbVie and OLUMIANT</w:t>
      </w:r>
      <w:r>
        <w:rPr>
          <w:rFonts w:ascii="Times New Roman" w:hAnsi="Times New Roman"/>
          <w:color w:val="000000"/>
          <w:sz w:val="13"/>
        </w:rPr>
        <w:t>®</w:t>
      </w:r>
      <w:r>
        <w:rPr>
          <w:rFonts w:ascii="Times New Roman" w:hAnsi="Times New Roman"/>
          <w:color w:val="000000"/>
          <w:sz w:val="20"/>
        </w:rPr>
        <w:t xml:space="preserve"> (baricitinib) marketed by Eli Lilly. These approved products have all demonstrated clinically significant efficacy results.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Until recently, the most advanced OX40-O40L targeting agent in development forAD was amlitelimab (Sanofi), an anti-OX40L mAb. In the third quarter of 2026, Sanofi announced its discontinuation of amlitelimab development in AD. In addition, there are several other OX40/OX40L targeting agents in the pipelines of various companies. These include monotherapies, free- or fixed-dose combinations of multiple antibodies, and various bispecific constructs. Rocatinlimab, a receptor-targeting anti-OX40 mAb previously in development by Amgen and Kyowa Kirin, is engineered in its Fc region for an enhanced ADCC intended to deplete OX40-expressing T cells. In the first quarter of 2026, Amgen returned the rights to the program fully to Kyowa Kirin and in March 2026 Kyowa Kirin announced discontinuation of all rocatinlimab development studies. Abcellera is developing ABCL575, an OX40L targeting mAb. Prior to the announcement of its acquisition by BioCryst, Astria was developing STAR-0310, a receptor-targeting mAb. APG279 is a combination of zumilokibart (IL13 targeting) and APG990 (anti-OX40L mAb) being developed by Apogee Therapeutics, which AbbVie recently announced their intentions to acquire. Navigator Medicines, a private company, is developing NAV-240, an anti-OX40LxTNFα bispecific as well as other anti-OX40L bispecifics. Several other companies are developing bispecifics with OX40 or OX40L, including Almirall currently in Phase 1. In addition to amlitelimab, Sanofi has several combinations and bispecifics in development with OX40 and OX40L, including brivekimig, an anti-OX40LxTNFα nanobody in development for hidradenitis suppurativa, and SAR446422, an OX40/CD28 bispecific antibody.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are also developing olevaprubart for the treatment of AA. There are several approved Janus kinase (JAK) inhibitors for the treatment of AA, including Eli Lilly’s baricitinib, Pfizer’s ritlecitinib and Sun Pharma’s deuruxolitinib. There are several therapies in development for the treatment of AA. One of the most advanced is rezpegaldesleukin (NKRT-358), a pegylated IL-2 modulator, being developed by Nektar Therapeutics. Rezpegaldesleukin is also being developed for AD. Other therapies in development include bempikibart, an IL-7Rα antibody being developed by Q32, ATI-2138, an ITK/JAK3 inhibitor being developed by Aclaris, FB102, an anti-CD122 mAb being developed by Forte (pending acquisition by argenx), and ALM223, an IL2 mutant fusion protein being developed by Almirall.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enrollment and retention of patients in clinical trials for olevaprubart may be disrupted or delayed as a result of clinicians’ and patients’ perceptions as to the potential advantages of olevaprubart in relation to commercially available therapies and other programs in development, including approved products as well as any other new products that may be approved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may succeed in developing, acquiring or licensing technologies and drug products that are more effective, have fewer or more tolerable side effects, have more convenient dosing regimens, or are less costly than any product candidates that we may develop, which could render any future product candidates obsolete and noncompetitive.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or any future collaborators, may develop. Our competitors also may obtain FDA or other marketing approval for their products before we, or any future collaborators, are able to obtain approval for ours, which could result in our competitors establishing a strong market position before we, or any future collaborators, are able to enter the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potential future competitors may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or as a result of the development of drug products that have more convenient dosing regimens. These competitors also compete with us in recruiting and retaining qualified scientific and management personnel and establishing clinical trial sites and patient registration for clinical trials, as well as in acquiring technologies complementary to, or necessary for, our development of olevaprubart and any future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internal sales, marketing or distribution capabilities, nor have we commercialized a product. If olevaprubart or any of our future product candidates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olevaprubart or any future product candidates, which could make it difficult for us to sell olevaprubart or any future product candidates, if approved,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For products administered under the supervision of a physician, obtaining coverage and adequate reimbursement may also be particularly difficult because of the higher prices often associated with such drugs. 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are unlikely to use olevaprubart or any future product candidates unless coverage is provided and reimbursement is adequate to cover a significant portion of the cost of such product candidates.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olevaprubart or any future product candidates. In addition, there has been increasing legislative and enforcement interest in the United States with respect to specialty drug pricing practices. For example, the U.S. Department of Health and Human Services (“HHS”) imposes rebates on many Medicare Part B and Medicare Part D products to penalize price increases that outpace inflation. In addition, HHS has been empowered to negotiate the price of certain single-source biologics that have been on the market for at least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Outside the United States, reimbursement and healthcare payment systems vary significantly by country, and many countries have instituted price ceilings on specific products and therapies. In some foreign countries, particularly those in Europe, the pricing of biologics is subject to governmental control. In these countries, pricing negotiations with governmental authorities can take considerable time after obtaining marketing approval of a product candidate.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The downward pressure on healthcare costs has become very intense. As a result, increasingly high barriers are being erected to the entry of new products. In addition, in some countries, cross-border imports from low-priced markets exert a commercial pressure on pricing within a country. Even if a pharmaceutical product obtains a marketing authorization in the EU, there can be no assurance that reimbursement for such product will be secured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marketability of olevaprubart or any future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 subject injury and product liability lawsuits against us could cause us to incur substantial liabilities and could limit commercialization of olevaprubart or any future product candidates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olevaprubart or any future product candidates in clinical trials and the sale of any products for which we obtain marketing approval exposes us to the risk of clinical trial subject injury and product liability claims. Product liability claims might be brought against us by consumers, healthcare professionals,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our business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participants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commercialize olevaprubart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olevaprubart or any future product candidates, if approved for commercial sale;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of the FDA and comparable foreign regulatory authorities is lengthy, time-consuming and inherently unpredictable, and even if we complete the necessary clinical trials, we cannot predict when, or if, we will obtain regulatory approval for olevaprubart or any future product candidates, and any such regulatory approval may be for a more narrow indication than we seek.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selling, import, export, marketing, and distribution of drug products, including biologics, are subject to extensive regulation by the FDA and comparable foreign regulatory authorities in and outside the United States. We are not permitted to market any biological drug product in the United States or outside the United States until we receive approval of a BLA from the FDA or similar approvals from comparable foreign regulatory authorities. We have not previously submitted a BLA to the FDA, or similar approval filings to comparable foreign authorities. A BLA and similar applications must include extensive preclinical and clinical data and supporting information to establish the product candidate’s safety and effectiveness for each desired indication. The BLA and similar applications must also include significant information regarding the chemistry, manufacturing and controls for the product, including with respect to chain of identity and chain of custody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Olevaprubart or any future product candidates could fail to receive regulatory approval from the FDA or a comparable foreign regulatory authority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the design or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to the satisfaction of regulatory authorities that olevaprubart or any future product candidates are safe and effective, or have a positive benefit/risk profile for its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insufficiency of data collected from clinical trials of olevaprubart or any future product candidates to support the submission and filing of a BLA or other submission or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future clinical trial results may result in our failing to obtain regulatory approval to market olevaprubart or any future product candidates, which would significantly harm our business, results of operations and prospects. 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olevaprubart or any future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 Even if olevaprubart or any future product candidates meet their safety and efficacy endpoints in clinical trials, the regulatory authorities may not complete their review processes in a timely manner, or we may not be able to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Similar requirements may apply outside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experience delays or rejections based upon additional government regulation from future legislation or administrative action, or changes in regulatory authority policy during the period of product development, clinical trials and the review process. Accordingly, the regulatory approval pathway for olevaprubart or any future product candidates may be uncertain, complex, expensive and lengthy, and approval may not be obtained. For instance, the regulatory landscape related to clinical trials in the EU recently evolved. The EU Clinical Trials Regulation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foresees a three-year transition period. On January 31, 2025, all ongoing trials became subject to the provisions of the CTR. Compliance with the CTR requirements by us and our third-party service providers, such as CROs, may impact our developments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EU pharmaceutical legislation is currently the subject of proposals for a complete review, in the context of the Pharmaceutical Strategy for Europe initiative, launched by the European Commission in November 2020.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 The proposed revisions remain to be agreed and adopted by the European Parliament and European Council and the proposals may therefore be substantially revised before adoption, the date of which cannot currently be anticipated. The revisions may however have a significant impact on the pharmaceutical industry and our business in the long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or a REMS or comparable foreign strategies.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conducted and intend to conduct certain of our clinical trials globally. However, the FDA and other foreign equivalents may not accept data from such trials, in which case our development plans may be delayed,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certain of our clinical trials globally including in Canada and Australia and intend to continue conducting certain of our clinical trials globally. The acceptance by the FDA or other regulatory authorities of data from clinical trials conducted outside of their respective jurisdictions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may be considered valid without the need for an on-site inspection by the FDA, or if the FDA considers such inspection to be necessary, the FDA is able to validate the data through an on-site inspection or other appropriate means.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where foreign clinical trial data are not intended to serve as the sole basis for approval, the FDA will not accept the data as support for an application for marketing approval unless the clinical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could result in the need for additional trials, which could be costly and time-consuming, and which may result in olevaprubart or any future product candidates that we may develop not receiving approval for commercialization in the applicable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clinical trials outside the United States also exposes us to additional risks, including risks associated 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practices and clinical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our trials resulting from geopolitical events, such as war or terrorism.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special designations by the regulatory authorities to expedite regulatory approvals, but may not be successful in receiving these designations, and even if received, they may not benefit the development and regulatory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various designations by regulatory authorities, such as Fast Track Designation or PRIority MEdicine (“PRIME”) Designation from regulatory authorities, for olevaprubart or any future product candidates that we develop. If a drug is intended for the treatment of a serious or life-threatening condition or disease, and nonclinical or clinical data demonstrate the potential to address an unmet medical need, the product may qualify for Fast Track Designation, for which sponsors must apply. The FDA has broad discretion whether or not to grant this designation. If granted, fast track designation makes a drug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Products with Fast Track designation may also be eligible for accelerated approval and priority review, if the relevant criteria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European Medicines Agency’s (“EMA”)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Seeking and obtaining these designations is dependent upon results of our clinical program, and we cannot guarantee whether and when we may have the data from our clinical program to support an application to obtain any such designation. The FDA and the EMA, as applicable, have broad discretion whether or not to grant any of these designations, so even if we believe a particular product candidate is eligible for one or more of these designations, the applicable regulatory authority may determine not to grant it. Even if we do receive the designations we may apply for, we may not experience a faster development process, review or approval compared to conventional FDA or EMA procedures, as applicable. The FDA or EU, as applicable, may rescind any granted designations if it believes that the designation is no longer supported by data from our clinical development program. Additionally, qualification for any expedited review procedure does not ensure that we will ultimately obtain regulatory approval for such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regulatory approval of olevaprubart or any future product candidates in one jurisdiction does not mean that we will be successful in obtaining regulatory approval of olevaprubart or any future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olevaprubart or any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receive applicable marketing approvals, our target market will be reduced and our ability to realize the full market potential of olevaprubart and any future product candidates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of olevaprubart or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olevaprubart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for olevaprubart or any future product candidates will require surveillance to monitor the safety and efficacy of such product candidate. The FDA may also require a Risk Evaluation and Mitigation Strategy (“REMS”) in order to approve olevaprubart or any future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olevaprubart or any future product candidates, the manufacturing processes, labeling, packaging, distribution, adverse event reporting, storage, advertising, promotion, import, export and recordkeeping for olevaprubart or any future product candidates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As such, we and our contract manufacturers will be subject to continual review and inspections to assess compliance with cGMP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 In addition, the FDA or comparable foreign regulatory authorities could require us to conduct another study to obtain additional safety or biomarker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will be required to comply with FDA and comparable foreign regulatory authorities’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Although the FDA and comparable foreign regulatory authorities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Later discovery of previously unknown problems with olevaprubart or any future product candidates, including adverse events of unanticipated severity or frequency, or with our third-party suppliers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or similar foreign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olevaprubart or any future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untitled letters, warning letters or holds on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authority may require revisions to the labeling, including limitations on approved uses or the addition of additional warnings, contraindications or other safety information,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authority may require the conduct of an additional post-market clinical trial or trials to assess the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or comparable foreign regulatory authority to approve pending applications or supplements to approved applications submitted by us or suspension or revocation of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olevaprubart or any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FDA and comparable foreign regulatory authorities’ policies may change and additional government regulations may be enacted that could prevent, limit or delay regulatory approval of olevaprubart or any future product candidates. For example,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hAnsi="Times New Roman"/>
          <w:i/>
          <w:color w:val="000000"/>
          <w:sz w:val="20"/>
        </w:rPr>
        <w:t xml:space="preserve">Loper </w:t>
      </w:r>
      <w:r>
        <w:rPr>
          <w:rFonts w:ascii="Times New Roman" w:hAnsi="Times New Roman"/>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or executive action, either in the United States or abroad. Certain policies of any administration may impact our business and industry.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any of our third-party manufacturers or suppliers may use potent chemical agents and hazardous materials, and any claims relating to improper handling, storage or disposal of these materials could be time consuming or costly.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manufacturers or suppliers and current or potential future collaborators may use biological materials, potent chemical agents and may use hazardous materials, including chemicals and biological agents and compounds that could be dangerous to human health and safety of the environment. The operations of our third-party manufacturers and suppliers also produce, and our operations may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customers, physicians, other healthcare professionals and third-party payors are subject, directly or indirectly, to federal, state, local and foreign healthcare fraud and abuse laws, false claims laws, transparency laws, health information privacy and security laws and other healthcare laws and regulations. If we or our employees, independent contractors, consultants, commercial partners and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professionals and third-party payors in the United States and elsewhere will play a primary role in the recommendation and prescription of olevaprubart or any future product candidates for which we obtain marketing approval. Our current and future arrangements with healthcare professionals, third-party payors, customers and others may expose us to broadly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fraud and abuse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and require strict compliance in order to offer protection. Practices that may be alleged to be intended to induce prescribing, purchases or recommendations, including any payments of more than fair market value,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(“FCA”) and civil monetary penalties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FCA. Private individuals, commonly known as “whistleblowers,” can bring federal civil FCA qui tam actions, on behalf of the government and such individuals and may share in amounts paid by the entity to the government in recovery or settlement;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Insurance Portability and Accountability Act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which impose requirements on covered entities, including certain healthcare providers, health plans and healthcare clearinghouses, and their respective business associates that perform services for them that involve creating, receiving maintaining or transmitting protected health information (“PHI”) and their subcontractors that use, disclose, access, or otherwise process PHI, relating to the privacy, security and transmission of individually identifiable health information. Penalties for HIPAA violations can be significant. They vary greatly depending on the nature of violation,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and anesthesiologist assistants, and certified nurse midwives), and teaching hospitals, as well as ownership and investment interests held by physicians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be subject to state, local and foreign equivalents of each of the healthcare laws described above, among others, some of which may be broader in scope. For example, in the EU, interactions between pharmaceutical companies and healthcare professionals and healthcare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healthcare professionals and associations on a regular (e.g., annual)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we may be subject to the following: state laws that require certain regulatory licenses to manufacture or distribute products commercially and/or the registration of pharmaceutical sales representatives in the jurisdiction; state and foreign anti-kickback and false claims laws that may apply to sales or marketing arrangements and claims involving healthcare items or services reimbursed by non-governmental, third-party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professionals or marketing expenditures; state and foreign laws that require the reporting of information related to drug pricing; and state and foreign laws governing the privacy and security of health information in some circumstances, many of which differ from each other in significant ways and often are not preempted by HIPAA,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could be subject to challenge under one or more of such laws. If we or our employees, independent contractors, consultants, commercial partners and vendors violate these laws, we may be subject to investigations, enforcement actions and significant penalties.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any of olevaprubart or any future product candidates outside the United States will also likely subject us to foreign equivalents of the healthcare laws mentioned above, among other foreign laws.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Olevaprubart will be regulated as a biologic, and therefore it may be subject to competition sooner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(“BPCIA”) established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there is a special regime for biosimilars, or biological medicinal products that are similar to a reference medicinal product but that do not meet the definition of a generic medicinal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such products, the results of appropriate preclinical or clinical trials must be provided in support of an application for MA. Guidelines from the EMA detail the type and quantity of supplementary data to be provided for different types of biological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a biosimilar to one of our products could have a material adverse impact on our business as it may be significantly less costly to bring to market and may be priced significantly lower than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obtain regulatory approval of olevaprubart or any future product candidates, the products may not gain market acceptance among physicians, patients, hospitals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olevaprubart for the treatment of moderate-to-severe AD, AA or other potential indications or any of our future product candidates may not become broadly accepted by physicians, patients, hospitals and others in the medical community. Factors that will influence whether olevaprubart or any future product candidates are accepted in the market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olevaprubart or any future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hospitals and patients considering olevaprubart or any future product candidates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olevaprubart or any future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olevaprubart or any future product candidates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pricing and 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frequency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olevaprubart or any future product candidates are approved but fail to achieve market acceptance among physicians, patients, hospitals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advancement of healthcare reform may negatively impact our ability to profitably sell olevaprubart or any future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 number of legislative and regulatory changes to the healthcare system that could impact our ability to profitably sell olevaprubart or any future product candidates, if approved. In particular, in 2010 the Affordable Care Act (“ACA”) was enacted which, among other things, revised the methodology by which rebates owed by manufacturers to the state and federal government for covered outpatient drugs and certain biologics, including olevaprubart,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executive, judicial and political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other healthcare reform measures of the current administration, if any, will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legislative changes have been proposed and adopted since the ACA was enacted. For example, aggregate reductions to Medicare payments to providers went into effect beginning on April 1, 2013 and due to subsequent legislative amendments to the statute will stay in effect through 2032, unless additional congressional action is taken. In addition, Congress is considering health reform measures as part of other health reform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current administration is pursuing policies to reduce regulations and expenditures across government including at HHS, the FDA, CMS and related agencies. For example, the current administration announced agreements with certain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presently directed by executive orders or memoranda from the Office of Management and Budget, may propose policy changes that create additional uncertainty for our business. These actions and proposals may, for example, include directives: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hAnsi="Times New Roman"/>
          <w:i/>
          <w:color w:val="000000"/>
          <w:sz w:val="20"/>
        </w:rPr>
        <w:t>Loper</w:t>
      </w:r>
      <w:r>
        <w:rPr>
          <w:rFonts w:ascii="Times New Roman" w:hAnsi="Times New Roman"/>
          <w:color w:val="000000"/>
          <w:sz w:val="20"/>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 Canada.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similar developments may affect our ability to profitably commercialize olevaprubart or any future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medicinal products,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medicinal products by relevant health service providers. Coupled with ever-increasing EU and national regulatory burdens on those wishing to develop and market products, this could prevent or delay marketing approval of olevaprubart or any future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13, 2021, Regulation No 2021/2282 on HTA amending Directive 2011/24/EU, was adopted in the EU. This Regulation, which entered into force in January 2022 and applies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olevaprubart or any future product candidates, if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including in connection with clinical trials in the United States and abroad.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health information privacy laws, personal data privacy laws, consumer protection laws (e.g., Section 5 of the Federal Trade Commission Act), and other similar laws (e.g., wiretapping laws). For example, HIPAA imposes specific requirements relating to the privacy, security, and transmission of individually identifiable protected health information. In addition, we may obtain health information from third parties (including research institutions from which we obtain clinical trial data) which may be subject to privacy and security requirements under HIPAA. Depending on the facts and circumstances, we could be subject to significant penalties if we violate HIPAA.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whom the CCPA applies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consumer privacy laws exempt some data processed in the context of clinical trials, but these developments further complicate compliance efforts, and increase legal risk and compliance costs for us and the third parties with whom we work (including our collaborators). Similar laws have passed and are being considered in several other states, as well as at the federal and local levels, and we expect more states to pass similar laws in the future. Regulators are also increasingly scrutinizing certain personal data transfers and have proposed and enacted certain data localization or transfer requirements. For example,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that operate in the clinical trial space and impacts our ability to engage in transactions or agreements with certain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the European Union’s General Data Protection Regulation (“EU GDPR”), the United Kingdom’s GDPR (“UK GDPR”) (collectively, “GDPR”), Brazil’s General Data Protection Law (Lei Geral de Proteção de Dados Pessoais, or “LGPD”) (Law No. 13,709/2018), Australia’s Privacy Act, and China’s Personal Information Protection Law (“PIPL”) impose strict requirements for processing personal data. For example, under the GDPR, in the event of non-compliance, companies face temporary or definitive bans on data processing and other corrective actions; fines of up to 20 million Euros under the EU GDPR, 17.5 million pounds sterling under the UK GDPR or, in each case, 4% of annual global revenue, whichever is greater; and private litigation related to processing of personal data brought by classes of data subjects and consumer protection organizations authorized at law to represent their interests.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Canada, the Personal Information Protection and Electronic Documents Act (“PIPEDA”) and various related provincial laws, as well as Canada’s Anti-Spam Legislation (“CASL”), apply to our operations. Australia’s Privacy Act also applies to our operations. We also conduct studies in Asia and are or may become subject to new and emerging data privacy regimes in Asia, including China’s PIPL and Korea’s Personal Information Protection Act (“PIPA”). For example, China’s PIPL imposes a set of specific obligations on covered businesses in connection with their processing and transfer of personal data and imposes fines of up to RMB 50 million or 5% of the prior year’s total annual revenue of the violator. India’s new privacy legislation, the Digital Personal Data Protection Act (“DPDP”), may also apply to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transfer personal data from Europe and other jurisdictions to the United States and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is no lawful manner for us to transfer personal data from the EEA, the UK or other jurisdictions to the United States or other jurisdictions,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data privacy and security laws, we are and may become contractually subject to industry standards adopted by industry groups. We are also bound by contractual obligations related to data privacy and security, and our efforts to comply with such obligations may not be successful. Moreover, clinical trial subjects about whom we or the third parties with whom we work obtain information may contractually limit our ability to use and disclose such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publish privacy policies, marketing materials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personnel use artificial intelligence (“AI”) technologies to perform their work, and the disclosure and use of personal data in AI technologies is subject to various privacy laws and other privacy obligations. Governments have passed and are likely to pass additional laws and regulations regulating AI technologies. Our use of this technology could result in additional compliance costs, regulatory investigations and actions, and lawsuits. If we are unable to use AI and automated decision-making technologies, it could make our business less efficient and result in competitive disadvantages.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(including our collaborators and third-party providers)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 oversight; bans or restrictions on processing personal data; orders to destroy or not use personal data; and imprisonment of company officials.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have a material adverse effect on our reputation, business, or financial condition, including but not limited to: loss of customers;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activities may subject us to various laws relating to foreign and U.S. investments and other transactions, and our failure to comply with these laws could subject us to substantial fines and other penalties,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foreign investments, transactions in which we participate may be subject to U.S. laws that regulate foreign investments in and other transactions with U.S. businesses. These laws include Section 721 of the Defense Production Act of 1950, as amended by the Foreign Investment Risk Review Modernization Act of 2018, and the implementing regulations thereof administered by the Committee on Foreign Investment in the United States (“CFIUS”) and codified at 31 C.F.R. Part 800 (the “CFIUS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CFIUS Regulations authorize CFIUS to review certain foreign investments in and acquisitions of U.S. businesses, and to prohibit, modify, or unwind transactions subject to CFIUS jurisdiction in the event the transaction is determined to raise national security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U.S. investment transactions, certain of our activities may be subject to the Outbound Investment Security Program (“OISP”) implemented to effectuate Executive Order 14105, administered by the Department of the Treasury, and codified at 31 C.F.R. Part 850 (the “OISP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OISP Regulations prohibit or require notification to the Department of the Treasury of certain transactions involving U.S. persons and persons with a qualifying nexus to China (including Hong Kong and Macau) that are engaged in specified activities in the semiconductors and microelectronics, quantum information technology, and AI sectors.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Application of these laws may negatively impact our business in various ways, including by restricting our access to capital and markets; limiting mergers and acquisitions, investments, or collaborations we may pursue; increasing our costs and the time necessary to obtain required authorizations and to ensure compliance; and threatening monetary fines, government investigations, business disruption, reputation harm, and other penalties if we do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patent protection for olevaprubart or any future product candidates or if the scope of the patent protection obtained is not sufficiently broad, we may not be able to compete effectively in our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will continue to rely, upon a combination of patents, trade secret protection and confidentiality agreements to protect the intellectual property related to olevaprubart. Our success depends in large part on our ability to secure and maintain patent protection in the United States and other countries with respect to olevaprubart and any future product candidates we may develop. We seek to protect our proprietary position by filing or collaborating with our licensors to file patent applications in the United States and abroad related to olevaprubart or any future product candidates. The patent prosecution process is expensive and time-consuming, and we may not be able to file and prosecute all necessary or desirable patent applications at a reasonable cost or in a timely manner. Moreover, the issuance, scope, validity, enforceability and commercial value of our patent rights are highly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 of matter patents for biological and pharmaceutical product candidates often provide a strong form of intellectual property protection for those types of products, as such patents provide protection without regard to any method of use. Although our licensing partner Hutchmed received a composition of matter patent in the U.S. and Taiwan for olevaprubart, we cannot be certain that the claims in Hutchmed’s pending patent applications directed to composition of matter of olevaprubart will be considered patentable by patent offices in other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also possible that we will fail to identify patentable aspects of our research and development output before it is too late to obtain patent protection. Therefore, these patents and patent applications may not be prosecuted and enforced in a manner consistent with the best interests of our business. The patent applications that we own or in-license may fail to result in issued patents with claims that cover olevaprubart and any future product candidates we may develop in the United States or in other foreign countries, in whole or in part. Alternately, the existing patents that we own or in-license and any future patents we obtain may not be sufficiently broad to prevent others from developing competing products and technologies. It is possible that not all potentially relevant prior art relating to our patents and patent applications has been found, which can prevent a patent from issuing from a pending patent application or later invalidate or narrow the scope of an issued patent.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Even if patents do successfully issue and even if such patents cover olevaprubart and any future product candidates we may develop, third parties may challenge their validity, ownership, enforceability or scope thereof, which may result in such patents being narrowed, invalidated, or held unenforceable or circumvented. Any successful challenge to these patents or any other patents owned by or licensed to us could deprive us of rights necessary for the successful commercialization of olevaprubart or any future product candidates. In addition, the issuance of a patent does not give us the right to practice the patented invention. Third parties may have blocking patents that could prevent us from marketing olevaprubart or any future product candidates, if approved, or practicing our own patented technology. Our competitors may be able to circumvent our patents by developing similar or alternative product candidates in a non-infringing manner. Further, if we encounter delays in regulatory approvals, the period of time during which we could market olevaprubart or any future product candidate under patent protection could be reduced. If any of our patents expire or are challenged, invalidated, circumvented or otherwise limited by third parties prior to the commercialization of olevaprubart or any future product candidates, and if we do not own or have exclusive rights to other enforceable patents protecting olevaprubart or any future product candidates, competitors and other third parties could market products and use processes that are substantially similar, or superior, to ours and our business would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patent applications we hold or have in-licensed with respect to olevaprubart or any future product candidates fail to issue, if their validity, breadth or strength of protection is threatened, or if they fail to provide meaningful exclusivity for any of olevaprubart or any future product candidates, it could dissuade companies from collaborating with us to develop product candidates, encourage competitors to develop competing products or technologies and threaten our ability to commercialize future product candidates. Any such outcome could harm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a party to the Hutchmed Agreement which is important to our business, and we may enter into additional license agreements in the future. Our Hutchmed Agreement imposes, and we expect that future license agreements will impose, various diligence, milestone payments, royalties and other obligations on us. See Note 10 - </w:t>
      </w:r>
      <w:r>
        <w:rPr>
          <w:rFonts w:ascii="Times New Roman" w:hAnsi="Times New Roman"/>
          <w:i/>
          <w:color w:val="000000"/>
          <w:sz w:val="20"/>
        </w:rPr>
        <w:t>Commitments and Contingencies</w:t>
      </w:r>
      <w:r>
        <w:rPr>
          <w:rFonts w:ascii="Times New Roman" w:hAnsi="Times New Roman"/>
          <w:color w:val="000000"/>
          <w:sz w:val="20"/>
        </w:rPr>
        <w:t xml:space="preserve"> to our condensed consolidated financial statements included elsewhere in this Quarterly Report. If we fail to comply with our obligations under these agreements, or we are subject to a bankruptcy, or, in some cases, under other circumstances, the licensor may have the right to terminate the license, in which event we would not be able to market product candidate(s) covered by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is generally highly uncertain, involves complex legal, scientific and factual questions, and is characterized by the existence of large numbers of patents and frequent litigation based on allegations of patent or other intellectual property infringement or violation. The standards that the United States Patent and Trademark Office (“USPTO”) and its foreign counterparts use to grant patents are not always applied predictably or uniformly. In addition, the laws of jurisdictions outside the United States may not protect our rights to the same extent as the laws of the United States, and many companies have encountered significant problems in protecting and defending such rights in foreign jurisdictions. For example, European patent law restricts the patentability of methods of treatment of the human body more than United States law does. Changes in either the patent laws or interpretation of the patent laws in the United States and other countries may diminish the value of our patents or narrow the scope of our patent protection. Since patent applications in the United States and other jurisdictions are confidential for a period of time after filing, we cannot be certain that we were the first to file for patents covering our inventions. As a result, the issuance, scope, validity, enforceability and commercial value of our patent rights are highly uncertain. Our pending and future patent applications may not result in the issuance of patents, or may result in the issuance of patents which fail to protect olevaprubart or any future product candidates, in whole or in part, or which fail to effectively prevent others from commercializing competitive technologies and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ownership, scope, validity or enforceability and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We may become involved in opposition, derivation, reexamination, inter partes review, post-grant review or interference proceedings challenging our owned or licensed patent rights. An adverse determination in any such submission, proceeding or litigation could reduce the scope of, or invalidate, our patent rights, allow third parties to commercialize our technology or products and compete directly with us, without payment to us. Thus, even if our patent applications issue as patents, they may not issue in a form that will provide us with meaningful protection, prevent competitors from competing with us or otherwise provide us with any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patents have a limited lifespan. In the United States, the natural expiration of a patent is generally 20 years after it is filed. Various extensions may be available; however, the life of a patent and the protection it affords, is limited. Without patent protection for olevaprubart or any future product candidates, we may be open to competition from biosimilar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olevaprubart or any future product candidates, prohibit our use of proprietary technology or sale of products or put our patents and other proprietary rights at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upon our ability to develop, manufacture, market and sell olevaprubart and any future product candidates without alleged or actual infringement, misappropriation or other violation of the patents and proprietary rights of third parties. However, our research, development and commercialization activities may be subject to claims that we infringe or otherwise violate patents or other intellectual property rights owned or controlled by third parties. Litigation relating to infringement or misappropriation of patent and other intellectual property rights in the pharmaceutical and biotechnology industries is common, including patent infringement lawsuits, interferences, derivation and administrative law proceedings, inter partes review and post-grant review before the USPTO, as well as oppositions and similar processes in foreign jurisdictions. The various markets in which we plan to operate are subject to frequent and extensive litigation regarding patents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olevaprubart or any future product candidates. In addition, many companies in intellectual property-dependent industries, including the biotechnology and pharmaceutical industries, have employed intellectual property litigation as a means to gain an advantage over their competitors. Numerous U.S., EU and foreign issued patents and pending patent applications, which are owned by third parties, exist in the fields in which we are developing olevaprubart or any future product candidates, and as the biotechnology and pharmaceutical industries expand and more patents are issued, and as we gain greater visibility and market exposure as a public company, the risk increases that olevaprubart or any future product candidates may be subject to claims of infringement of the intellectual property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third-party claims including patent infringement, interference or derivation proceedings, post-grant review and inter partes review before the USPTO or similar adversarial proceedings or litigation in other jurisdictions. Even if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There may be third-party patents or patent applications with claims to compositions, formulations, or methods of treatment, prevention use, or manufacture of olevaprubart or any future product candidates or technologies. Because patent applications can take many years to issue, there may be currently pending patent applications which may later result in issued patents that olevaprubart or any future product candidates may infringe. In addition, third parties may obtain patents in the future and claim that use of our technologies infringes upon these patents. If any third-party patents were held by a court of competent jurisdiction to cover aspects of our compositions, formulations, or methods of treatment, prevention or use, the holders of any such patents may be able to prohibit our use of those compositions, formulations, methods of treatment, prevention or use or other technologies, effectively blocking our ability to progress the clinical development of or commercialize the applicable product candidate until such patent expires or is finally determined to be invalid or unenforceable or unless we obtained a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may be subject to third party claims arising from prior employment agreements or consulting agreements entered into by our officers, employees, independent contractors and consultants. Claims may include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that we breached the provisions of third-party consulting agreements, we may be prohibited from using certain intellectual property, trade secrets and confidential information, effectively blocking our ability to seek patent protection for our inventions and halting the progress of our clinical development and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defending such claims would cause us to incur substantial expenses and, if successful, could cause us to pay substantial damages if we are found to be infringing a third party’s intellectual property rights. These damages potentially include increased damages and attorneys’ fees if we are found to have infringed such rights willfully. Further, if a patent infringement suit is brought against us or our third-party service providers, our development, manufacturing or sales activities relating to the product or product candidate that is the subject of the suit may be delayed or terminated, as parties making claims against us may obtain injunctive or other equitable relief. As a result of patent infringement claims, or in order to avoid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olevaprubart or any future product candidates, or forced to modify such product candidates, or to cease some aspect of our business operations, which could harm our business significantly. We might also be forced to redesign or modify olevaprubart or any future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 Intellectual property litigation, regardless of its outcome, may cause negative publicity, adversely impact prospective customers, cause product shipment delays, or prohibit us from manufacturing, importing, marketing or otherwise commercializing our products, services and technology. In addition, if the breadth or strength of protection provided the patents and patent applications we own or in-license is threatened, it could dissuade companies from collaborating with us to license, develop or commercialize olevaprubart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infringe our patents or other intellectual property. If we or one of our licensors were to initiate legal proceedings against a third party to enforce a patent covering olevaprubart or any future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lack of written description, or non-enablement. Third parties might allege unenforceability of our patents because during prosecution of the patent an individual connected with such prosecution withheld relevant information or made a misleading statement. Interference or derivation proceedings provoked by third parties or brought by us or declared by the USPTO may be necessary to determine the priority of inventions with respect to our patents or patent applications.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and perhaps all, of the patent protection on olevaprubart or any future product candidates. Our patents and other intellectual property rights also will not protect our technology if competitors design around our protected technology without infringing our patents or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shares could be adversely affected.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manufacture and market olevaprubart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or our licensors’ patent searches or analyses, including but not limited to the identification of relevant patents, analysis of the scope of relevant patent claims or determination of the expiration of relevant patents, are not complete or thorough. It is also possible that we have not identified each and every third-party patent and pending application in the United States, Europe and elsewhere that is relevant to or necessary for the commercialization of olevaprubart or any future product candidates in any jurisdiction. Patent applications in the United States, the EU and elsewhere are published approximately 18 months after the earliest filing for which priority is claimed, with such earliest filing date being commonly referred to as the priority date. Therefore, patent applications covering olevaprubart or any future product candidates could be filed by others without our knowledge. Additionally, pending patent applications that have been published can, subject to certain limitations, be later amended in a manner that could cover olevaprubart or any future product candidates or the use of such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olevaprubart or any future product candidates. We may incorrectly determine that olevaprubart or any future product candidates are not covered by a third-party patent or may incorrectly predict whether a third party’s pending application will issue with claims of relevant scope. Our determination of the expiration date of any patent in the United States, the EU or elsewhere that we consider relevant may be incorrect, which may negatively impact our ability to develop and market olevaprubart or any future product candidates. Our failure to identify and correctly interpret relevant patents may negatively impact our ability to develop and market olevaprubart or any future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identify or correctly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olevaprubart or any future product candidates. We might, if possible, also be forced to redesign olevaprubart or any future product candidates in a manner that no longer infringes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laws or patent jurisprudence could diminish the value of patents in general, thereby impairing our ability to protect olevaprubart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our intellectual property, particularly our patents. Obtaining and enforcing patents in the biotechnology industry involves both technological and legal complexity. Therefore, obtaining and enforcing biotechnology patents is costly, time-consuming and inherently uncertain. In addition, the Leahy-Smith America Invents Act (“AIA”) which was passed in September 2011, resulted in significant changes to the U.S. patent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be diligent in filing patent applications, but circumstances could prevent us from promptly filing patent applications on our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on June 1, 2023, the European Patent Package (“EU Patent Package”) regulations were implemented with the goal of providing a single pan-European Unitary Patent and a new European Unified Patent Court (“UPC”), for litigation involving European patents. Under the UPC, all European patents, including those issued prior to ratification of the European Patent Package, will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provided by the UPC. As the UPC is a new court system, there is no precedent for the court, increasing the uncertainty of any litigation. We will have the right to opt our patents out of the UPC over the first seven years of the court’s existence, but doing so may preclude us from realizing the benefits, if any, of the new unified court.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European and other patent agencies require compliance with a number of procedural, documentary, fee payment and other similar provisions during the patent application process. In addition, periodic maintenance and annuity fees on any issued patent are due to be paid to the USPTO, European and other patent agencies over the lifetime of the patent. While an inadvertent failure to make payment of such fees or to comply with such provisions can in many cases be cured by additional payment of a late fee or by other means in accordance with the applicable rules, there are situations in which non-compliance with such provisions will result in the abandonment or lapse of the patent or patent application, and the partial or complete loss of patent rights in the relevant jurisdiction, or loss of entitlement or unenforceability against third parties. Non-compliance events that could result in abandonment or lapse or loss of entitlement or unenforceability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olevaprubart or any future product candidates or if we or our licensors otherwise allow our patents or patent applications to be abandoned or lapse, it can create opportunities for competitors to enter the market, which would hurt our competitive position and could impair our ability to successfully progress clinical development of or commercialize olevaprubart or any future product candidates in any indication for which they may be approved.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enjoy only limited geographical protection with respect to certain patents and 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covering olevaprubart or any future product candidates in all countries throughout the world would be prohibitively expensive, and even in countries where we have sought protection for our intellectual property, such protection can be less extensive than those in the United States. The requirements for patentability may differ in certain countries, particularly developing countries, and the breadth of patent claims allowed can be inconsistent. In addition, the laws of some foreign countries do not protect intellectual property rights to the same extent as federal and state laws in the United States. In-licensing patents covering olevaprubart or any future product candidates in all countries throughout the world may similarly be prohibitively expensive, if such opportunities are available at all. And in-licensing or filing, prosecuting and defending patents even in only those jurisdictions in which we develop or commercialize olevaprubart or any future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where enforcement is not as strong as that in the United States or the EU. These products may compete with olevaprubart or any future product candidates, and our or our licensors’ patents or other intellectual property rights may not be effective or sufficient to prevent them from competing.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decide to abandon national and regional patent applications while they are still pending. The grant proceeding of each national or regional patent is an independent proceeding which may lead to situations in which applications may be rejected by the relevant patent office, while substantively similar applications are granted by others. For example, relative to other countries, China has a heightened requirement for patentability with respect to written description and experimental data in support of a claimed drug or medical use.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or regulations in the United States and the EU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particularly those relating to biotechnology products, which could make it difficult for us to prevent competitors in some jurisdictions from marketing competing products in violation of our proprietary rights generally. Proceedings to enforce our patent rights in foreign jurisdictions, whether or not successful, are likely to result in substantial costs and divert our efforts and attention from other aspects of our business, and additionally could put at risk our or our licensors’ patents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olevaprubart or any future product candidates. Accordingly, our efforts to protect our intellectual property rights in such countries may be inadequate, which may have an adverse effect on our ability to successfully commercialize olevaprubart or any future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jurisdictions including EU countries,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in the United States under the Hatch-Waxman Act and in foreign countries under similar legislation, thereby potentially extending the term of marketing exclusivity for olevaprubart or any future product candidates, our business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olevaprubart or any future product candidates, one or more of our U.S. patents may be eligible for limited patent term extension under the Drug Price Competition and Patent Term Restoration Act of 1984 (the “Hatch-Waxman Act”), which permits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and only claims covering such approved drug product, a method for using it or a method for manufacturing it may be extended. In the EU, olevaprubart and any future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proprietary rights may not adequately protect olevaprubart or any future product candidates, and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the same as or similar to olevaprubart or any of our future product candidates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other collaboration partners might not have been the first to conceive and reduce to practice the inventions covered by the patents or patent applications that we own, license or will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other collaboration partners might not have been the first to file patent applications covering certain of the patents or patent applications that we or they own or have obtained a license, or will own or will have obtained a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may fail to meet obligations to the U.S. government with respect to in-licensed patents and patent applications funded by U.S. government grants, leading to the loss of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or our licensors’ pending patent applications will not result in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there are prior public disclosures that could invalidate our or our licensors’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exclusively license may not provide us with any competitive advantage, or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exclusively license our patents and, therefore, may not have a competitive advantage if such patents are licensed to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validity or enforceability of our or our licensors’ patents or patent applications may be challenged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third parties or pending or future applications of third parties, if issued, may have an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may require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trade secrets and confidential know-how to be important to our business. We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rely on third parties to manufacture olevaprubart, may continue to do so in the future and expect to collaborate with third parties on the development of olevaprubart or any future product candidates we develop, we may, at times, share trade secrets and confidential know-how with them. We also conduct joint research and development programs that may require us to share trade secrets and confidential know-how under the terms of our research and development partnerships or similar agreements. Under such circumstances, trade secrets and confidential know-how can be difficult to maintain as confidential.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disclosure of confidential information. The need to share trade secrets and other confidential know-how increases the risk that such trade secrets and confidential know-how become known by our competitors, are inadvertently incorporated into the technology of others, or are disclosed or used in violation of these agreements. Given that our competitive position is based, in part, on our confidential know-how and trade secrets, a competitor’s discovery of our trade secrets or confidential know-how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and the enforceability of confidentiality agreements may vary from jurisdiction to jurisdiction. Courts outside the United States are sometimes less willing to protect proprietary information, technology and know-how. Further, we may need to share our trade secrets and confidential know-how with future business partners, collaborators, contractors and others located in countries at heightened risk of theft of trade secrets, including through direct intrusion by private parties or foreign actors, and those affiliated with or controlled by state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or confidential know-how, although our agreements may contain certain limited publication rights. Despite our efforts to protect our trade secrets and confidential know-how, our competitors may discover them, either through breach of our agreements with third parties, independent development or publication of information by any of our third-party collaborators. A competitor’s discovery of our trade secrets or confidential know-how would impair our competitive position and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trademarks and trade names are not adequately protected, then we may not be able to build name recognition in our markets of interest and our business may be adversely affected.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license additional intellectual property from third parties, and any such licenses may not be available or may not be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may depend in part on our ability to acquire or in-license additional proprietary rights. For example, olevaprubart or any future product candidates may require the use of additional proprietary rights held by third parties. Olevaprubart or any future product candidates may also require specific formulations to work effectively and efficiently. These formulations may be covered by intellectual property rights held by others. We may develop products containing our compositions and pre-existing pharmaceutical compositions. These pharmaceutical products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obtain or enforce assignments of intellectual property rights from our employees and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defending against such claims, litigation could result in substantial costs and distraction to management and other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Confidentiality agreements with employees and third parties may not prevent unauthorized disclosure of trade secrets and other proprietary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trade secrets, confidential know-how, processes for which patents are difficult to enforce, and any other elements of our product discovery and development processes that involve proprietary information or technology that is not covered by patents. Trade secrets, however, may be difficult to protect. Although we require all of our employees to assign their inventions to us, and require all of our employees and key consultants who have access to our confidential know-how, information, or technology to enter into confidentiality agreements, we cannot be certain that our trade secrets and other confidential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their former employers or other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and will continue to employ individuals who were previously employed at universities or other biotechnology or pharmaceutical companies, including our licensors, competitors or potential competitors. Although we seek to protect our ownership of intellectual property rights by ensuring that our agreements with our employees, consultants, collaborators, independent contractors and other third parties with whom we do business include provisions requiring such parties to assign rights in inventions to us and to not use the know-how or confidential information of their former employer or other third parties, we may be subject to claims that we or our employees, consultants, collaborators or independent contractors have inadvertently or otherwise used or disclosed know-how or confidential information of their former employers or other third parties. We may also be subject to claims that former employers or other third parties have an ownership interest in our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may be necessary to defend against these claims. We may not be successful in defending these claims, and if we do fail in defending any such claims, in addition to paying monetary damages, we may lose valuable personnel or intellectual property rights, such as exclusive ownership of, or right to use, valuable intellectual property, which could result in customers seeking other sources for the technology, or in ceasing from doing business with us. Any such intellectual property rights could be awarded to a third party, and we could be required to obtain a license from such third party to progress our clinical development programs or commercialize olevaprubart or any future product candidates. Such a license may not be available on commercially reasonable terms or at all. Even if we are successful, litigation could result in substantial cost and reputational loss and be a distraction to our management and other employees.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Industry and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expand our organization, and we may experience challenges in managing this growth as we build our capabilities,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18 full-time employees. We will need to expand our organization, and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olevaprubart or any future product candidates. If our management is unable to effectively manage our growth, our expenses may increase more than expected, our ability to generate and grow revenue could be reduced, and we may not be able to implement our business strategy. Our future financial performance and our ability to commercialize olevaprubart or any future product candidates and compete effectively will depend, in part, on our ability to effectively manage any future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key personnel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has experienced a high rate of turnover of management personnel in recent years. We are highly dependent on our executive officers, as well as the other members of our management, scientific and clinical teams. Any of our executive officers may terminate their employment with us at any time. In addition our executive officers are entitled to receive certain severance benefits in connection with their voluntary resignation of employment for good reason, as defined in their applicable employment or severance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lose one or more of our executive officers or key employees, our ability to implement our business strategy successfully could be seriously harmed. Furthermore, replacing executive officers and key employees may be difficult and may take an extended period of time because of the limited number of individuals in our industry with the breadth of highly specialized skills and experience required to develop, gain regulatory approval of and commercialize our product candidates successfully. Competition to hire from this limited pool is intense, and we may be unable to hire, train, retain or motivate these additional key personnel on acceptable terms given the competition among numerous biopharmaceutical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advance the clinical development of and commercialize product candidates will be limited.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or those third parties with whom we work or our data are or were compromised, we could experience adverse consequences resulting from such compromise, including, but not limited to, interruptions to our operations such as our clinical trials, claims that we breached our data protection obligations, harm to our reputation,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confidential and sensitive data, including intellectual property, preclinical and clinical trial data, trade secrets, proprietary business information and personal information of employees, business partners and service providers (collectively, “sensitive information”) necessary to conduct our business in our and the third parties’ with whom we work data centers and networks. The secure processing, maintenance and transmission of this sensitive information is critical to our operations. Cyber-attacks, malicious internet-based activity, online and offline fraud, and other similar activities threaten the confidentiality, integrity, and availability of our sensitive information and information technology systems, and those of the third parties with whom we work (including our current and future CROs). Such threats are prevalent, continue to rise, are increasingly difficult to detect and come from a variety of sources, including traditional computer “hackers,” threat actors, “hacktivists,” organized criminal threat actors, personnel, sophisticated nation states and nation-state supported actors, including via advanced persistent threat intrusions.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 engineering attacks (including through deep fakes, which are increasingly more difficult to identify as fake, and phishing attacks), malicious code (such as viruses and worms), malware (including as a result of advanced threat intrusions), ransomware attacks, supply-chain attacks, denial-of-service attacks, credential stuffing attacks, credential harvesting, server malfunction, personnel misconduct or error, software bugs, software and hardware failures, loss of data or other information technology assets, adware, attacks enhanced or facilitated by AI, natural disasters (such as earthquakes, fires, and floods), terrorism, war and telecommunication and electrical failures or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delays, or outages in our operations, loss of data (including sensitive information), loss of income, significant extra expenses to restore data or systems, reputational harm and the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may be difficult and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or those of third parties with whom we work to gain access to other parts of the relevant environments, or leverage a compromise of our networks or systems to gain access to the networks or systems of third parties with whom we work, such as through phishing or supply chain attacks. Remote work poses risks to our information technology systems and data, as our personnel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including, without limitation, cloud-based infrastructure, data center facilities, encryption and authentication technology, email, clinical trials and other functions. Our ability to monitor these third parties’ information security practices is limited, and the third parties with whom we work may not have adequate information security measures in place. If these parties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 software and those of third parties with whom we work). We have not, and may not in the future,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breach.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designed to protect our information technology systems and sensitive information. Applicable data privacy and security obligations may require us, or we may voluntarily choose, to notify relevant stakeholders, including affected individuals, regulators and investors, of security incidents or to take other actions, such as providing credit monitoring and identity theft protection services. Such disclosures and related actions are costly, and the disclosure or the failure to comply with such applicable requirements could lead to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the third parties with whom we work) experience a security incident or are perceived to have experienced a security incident, we could face adverse consequences, such as government enforcement actions (for example, investigations, fines, penalties, audits, and inspections), additional reporting requirements and oversight, restrictions on processing sensitive information (including personal data), litigation (including class claims), indemnification obligations, monetary fund diversions, diversion of management attention, negative publicity; reputational harm; financial loss, interruptions in our operations (including availability of data), disruptions to our operations; and a loss of confidence in us and our ability to conduct clinical trials. For example, the loss of preclinical study or clinical trial data from completed, ongoing or planned trials could result in delays in our regulatory approval efforts and significantly increase our costs to recover or reproduce the data. Additionally, theft of our sensitive information could require substantial expenditures to remedy. To the extent that any disruption or security breach were to result in a loss of or damage to our data or applications, or inappropriate disclosure of sensitive information, we could incur liability, and the further development of olevaprubart or any future product candidates could be delayed. Further, our insurance coverage may not be sufficient to cover the financial, legal, arise from our privacy and security practices, including any compromise of our data or information technology systems. We also cannot be sure that such coverage will continue to be available on commercially reasonable terms or at all, or that such coverage will pay future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risks arising from pandemic and epidemic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olevaprubart or any future product candidates for use in our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due to disease progression in participants,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Any future pandemic or epidemic disease outbreak could also potentially further affect the business of the FDA or other comparable foreign regulatory authorities, which could result in delays in meetings related to our ongoing or planned clinical trials, as well have an adverse impact on global economic conditions, which could have an adverse effect on our business and financial condition, including impairing our ability to raise capital when needed.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a fire and earthquake or other man-made or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offices are located in San Diego, California and are vulnerable to fires and earthquakes. Any unplanned event, such as a flood, 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provide assurance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insurance policies may be inadequate, may not cover all of our potential liabilities and may potentially expose us to unrecoverable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carry insurance for all categories of risk that our business may encounter. Some of the policies we currently maintain include property, general liability, employee benefits liability, workers’ compensation, clinical trials/products liability, cybersecurity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although we are dependent on certain key personnel, we do not have key person life insurance policies on any such individuals. Therefore, if any of our key personnel die or become disabled, the loss of such person could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affected by litigation, government investigations, and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data privacy and security,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or other sanctions against us, and remediation of any such findings could have an adverse effect on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and independent contractors, including consultants, vendors and any third parties we may engage in connection with development and commercialization may engage in misconduct or other improper activities, including noncompliance with regulatory standards and requirements,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Misconduct by our employees and independent contractors, including consultants, vendors and any third parties we may engage in connection with development and commercialization, could include intentional, reckless or negligent conduct or unauthorized activities that violate: (i) the laws and regulations of the FDA, EU and comparable foreign regulatory authorities, including those laws that require the reporting of true, complete and accurate information to such authorities; (ii) manufacturing standards; (iii) data privacy and security laws, and fraud and abuse and other healthcare laws and regulations; or (iv) other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may be limited, including as a result of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U.S. federal net operating loss (“NOL”) carryforwards and state NOL carryforwards of $267.0 million and $81.5 million, respectively. Under current law, U.S. federal NOL carryforwards generated in taxable periods beginning after December 31, 2017, may be carried forward indefinitely, but the deductibility of such NOL carryforwards is limited to 80% of taxable income. It is uncertain if and to what extent various states will conform to federal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(the “Code”),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the Merger or other transactions. Similar rules may apply under state tax laws. If we earn taxable income, such limitations could result in increased future income tax liability to us, and our future cash flows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informally titled the Tax Cuts and Jobs Act, the Coronavirus Aid, Relief, and Economic Security Act, the Inflation Reduction Act and OBBBA enacted many significant changes to the U.S. tax laws. Future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foreign earnings and the deductibility of expenses or future reform legislation could have a material impact on the value of our deferred tax assets, could result in significant one-time charges and could increase our future U.S. tax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is expected to be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approvals for olevaprubart and any future product candidates, and delays or failures to obtain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olevaprubart or any of our future product candidates, if approved, to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to maintain our existing third-party license and supply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or our licensors to prosecute, maintain, or enforce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olevaprubart or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obtain adequate supply of olevaprubart or our future product candidates or the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authority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services or technologies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perception of the pharmaceutical industry by the public, legislatures, regulators and the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an adverse or misleading opinion regarding our business and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market or macroeconomic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maintain compliance with the listing requirements of The Nasdaq Capital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generally, including with respect to other products and potential products in such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introduction of technological innovations or new therapies that compete with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 care payment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incur costs and demands upon management as a result of complying with the laws, rules and regulations affecting public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incur significant legal, accounting and other expenses that Legacy Inmagene did not incur as a private company, including costs associated with public company reporting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also incur costs associated with corporate governance requirements, including requirements under the laws, rules and regulations of the SEC as well as the Nasdaq rules. These laws, rules and regulations are expected to increase our legal and financial compliance costs and to make some activities more time consuming and costly. For example, our management team includes executive officers, some of whom have not previously managed and operated a public company. These executive officers and other personnel will need to devote substantial time to gaining expertise regarding operations as a public company and compliance with applicable laws and regulations. These laws, rules and regulations also may make it difficult and expensive for us to obtain directors’ and officers’ liability insurance. As a result, it may be more difficult for us to attract and retain qualified individuals to serve on our board of directors or as our executive officers, which may adversely affect investor confidence in us and could cause our business or stock price to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more difficult and may prevent attempts by our stockholders to replace or remove our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delay or prevent an acquisition or a change in management. In addition, because we are incorporated in Delaware, we are governed by the provisions of Section 203 of the General Corporation Law of the State of Delaware (the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our board of directors, which is responsible for appointing the members of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designate specific courts as the exclusive forum for certain litigation that may be initiated by our stockholders, which could limit the ability of our stockholders to obtain a favorable judicial forum for disputes with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unless we consent in writing to the selection of an alternative forum, the Court of Chancery of the State of Delaware is the sole and exclusive forum for state law claims for (i) any derivative action or proceeding brought on behalf of us, (ii) any action asserting a claim of breach of a fiduciary duty owed by any of our directors, officers, or other employees to us or our stockholders, (iii) any action asserting a claim arising pursuant to any provision of the DGCL, or our amended and restated certificate of incorporation or our amended and restated bylaws (including the interpretation, validity or enforceability thereof) or (iv) any action asserting a claim that is governed by the internal affairs doctrine, which is referred to as the “Delaware Forum Provision.” The Delaware Forum Provision will not apply to any causes of action arising under the Securities Act of 1933, as amended (the “Securities Act”) or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which is referred to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Delaware Forum Provision and the Federal Forum Provision may impose additional litigation costs on stockholders in pursuing any such claims. Additionally, these forum selection clauses in our amended and restated bylaws may limit the ability of our stockholders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the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develop and our stockholders may not be able to resell their shares of common stock for a profit,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Merger, there had been no public market for the Legacy Inmagene shares. An active trading market for our shares of common stock may never develop or be sustained. If an active market for our common stock does not develop or is not sustained, it may be difficult for our stockholders to sell their shares at an attractive price or at all.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Substantial future sales of shares of our common stock could adversely affect the market price of such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existing stockholders sell, or indicate an intention to sell, substantial amounts of our common stock in the public market, or there is the perception that these sales could occur, this could adversely affect the market price of such shares and could materially impair our ability to raise capital through equity offerings in the future. We cannot predict what effect, if any, sales of our shares in the public market or the availability of shares for sale would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identified a material weakness in our internal control over financial reporting. If we fail to remediate this material weakness, or if we identify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preparation of Legacy Inmagene’s financial statements for the years ended December 31, 2024 and 2023, we identified a material weakness in our internal control over financial reporting, which had not been remediated as of June 30, 2026.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related to the period-end financial reporting process to ensure adequate segregation of duties, including controls related to account reconciliations and journal entries. Specifically, certain personnel have incompatible duties including the ability to (i) create and post manual journal entries without an independent review and (ii) prepare and review account reconciliations. The material weakness did not result in a misstatement to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this material weakness could result in a misstatement of substantially all of our accounts or disclosures that would result in a material misstatement of our annual or interim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remediate the material weakness, we plan to design and implement control activities in response to the risks posed as a result of the lack of segregation of duties related to journal entries and account reconciliations, including general controls over information systems.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The measures we have taken to date, and are continuing to design and implement, may not be sufficient to remediate the material weakness we have identified or avoid potential future material weaknesses. If the steps we take do not correct this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remediate the existing material weakness or identify new material weaknesses in our internal control over financial reporting, if we are unable to comply with the disclosure and attestation requirements of Section 404 of the Sarbanes-Oxley Act of 2002, as amended (the “Sarbanes Oxley Act”) in a timely manner, we may not be able to accurately or timely report our financial condition or results of operations, which may adversely affect investor confidence in us and the market price of our common stock could be negatively affected. As a result, we could also become subject to investigations by Nasdaq,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 As a private company, Legacy Inmagene was never required to test its internal controls within a specified period. As a public company, we will need to incur substantial professional fees and internal costs to expand our accounting and finance functions and expend significant management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The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Because of these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 and the diseases olevaprubart is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harms to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and economic conditions, including any adverse macroeconomic conditions or geopolitical events,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 the past several years, including severely diminished liquidity and credit availability, rising inflation and monetary supply shifts, rising interest rates, supply chain constraints, labor shortages, declines in consumer confidence, declines in economic growth, increases in unemployment rates, recession risks and uncertainty about economic stability. The financial markets and the global economy may also be adversely affected by the current or anticipated impact of public health crises, geopolitical conflicts (including military conflicts, threatened hostilities, and conflicts or heightened tension among alliance countries), terrorism or other geopolitical events. For example, the COVID-19 pandemic resulted in widespread unemployment, economic slowdown and extreme volatility in the capital markets. Sanctions imposed by the United States and other countries in response to military conflicts may also adversely impact the financial markets and the global economy, and any economic countermeasures by the affected countries or others could exacerbate market and economic instability.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credit and financial markets and confidence in economic conditions will not occur. Events involving limited liquidity, defaults, non-performance or other adverse developments that affect financial institutions, or concerns or rumors about any events of these kinds or other similar risks, have in the past and may in the future lead to market-wide liquidity problems.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of_equity_sec"/>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none of our directors or officers (as defined in Rule 16a-1(f) under the Exchange Act) adopted or terminated any “Rule 10b5-1 trading arrangement” or “non-Rule 10b5-1 trading arrangement,” as those terms are defined in Item 408 of Regulation S-K.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9235"/>
      </w:tblGrid>
      <w:tr>
        <w:trPr/>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5" w:type="dxa"/>
            <w:tcBorders/>
            <w:vAlign w:val="center"/>
          </w:tcPr>
          <w:p>
            <w:pPr>
              <w:pStyle w:val="TableContents"/>
              <w:bidi w:val="0"/>
              <w:spacing w:before="0" w:after="283"/>
              <w:jc w:val="left"/>
              <w:rPr>
                <w:sz w:val="4"/>
                <w:szCs w:val="4"/>
              </w:rPr>
            </w:pPr>
            <w:r>
              <w:rPr>
                <w:sz w:val="4"/>
                <w:szCs w:val="4"/>
              </w:rPr>
            </w:r>
          </w:p>
        </w:tc>
      </w:tr>
      <w:tr>
        <w:trPr/>
        <w:tc>
          <w:tcPr>
            <w:tcW w:w="824"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December 23, 2024, by and among the Registrant, Insight Merger Sub I, Insight Merger Sub II, and Inmagene Biopharmaceuticals (incorporated by reference to Exhibit 2.1 to the Registrant’s Current Report on Form 8-K (File No. 001-40287) filed with the SEC on December 23, 2024).</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Fifth Amended and Restated Certificate of Incorporation of the Registrant (incorporated by reference to Exhibit 3.1 to the Registrant’s Current Report on Form 8-K (File No. 001-40287) filed with the SEC on March 30, 2021).</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Fifth Amended and Restated Certificate of Incorporation of the Registrant, dated July 25, 2025 (Stock Split Amendment) (incorporated by reference to Exhibit 3.1 to the Registrant’s Current Report on Form 8-K (File No. 001-40287) filed with the SEC on July 29, 2025).</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Fifth Amended and Restated Certificate of Incorporation of the Registrant, dated July 25, 2025 (Name Change Amendment) (incorporated by reference to Exhibit 3.2 to the Registrant’s Current Report on Form 8-K (File No. 001-40287) filed with the SEC on July 29, 2025).</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Registrant dated March 20, 2021 (incorporated by reference to Exhibit 3.2 to the Registrant’s Current Report on Form 8-K (File No. 001-40287) filed with the SEC on March 30, 2021).</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Fourth Amended and Restated Investors’ Rights Agreement by and among the Registrant and certain of its stockholders, dated as of December 18, 2020 (incorporated by reference to Exhibit 4.2 to the Registrant’s Registration Statement on Form S-1 (File No. 333-253919) filed with the SEC on March 5, 2021).</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Registration Rights Agreement by and among the Registrant and the parties thereto, dated July 25, 2025 (incorporated by reference to Exhibit 10.8 to the Registrant’s Current Report on Form 8-K (File No. 001-40287) filed with the SEC on July 29, 2025).</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 to Purchase Common Stock (incorporated by reference to Exhibit 4.1 to the Registrant’s Current Report on Form 8-K (File No. 001-40287) filed with the SEC on April 13, 2026).</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Registration Rights Agreement dated April 14, 2026, by and between the Registrant and the Investors (incorporated by reference to Exhibit 4.4 to the Registrant’s Quarterly Report on Form 10-Q (File No. 001-40287) filed with the SEC on May 7, 2026)</w:t>
              </w:r>
            </w:hyperlink>
            <w:r>
              <w:rPr>
                <w:rFonts w:ascii="Times New Roman" w:hAnsi="Times New Roman"/>
                <w:color w:val="000000"/>
                <w:sz w:val="20"/>
              </w:rPr>
              <w:t xml:space="preserve">. </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Securities Purchase Agreement, dated April 12, 2026, by and between the Registrant and the Investors (incorporated by reference to Exhibit 10.1 to the Registrant’s Current Report on Form 8-K (File No. 001-40287) filed with the SEC on April 13, 2026).</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ImageneBio, Inc. Amended and Restated 2025 Equity Incentive Plan (incorporated by reference to Exhibit 10.1 to the Registrant’s Current Report on Form 8-K (File No. 001-40287) filed with the SEC on June 17, 2026)</w:t>
              </w:r>
            </w:hyperlink>
            <w:r>
              <w:rPr>
                <w:rFonts w:ascii="Times New Roman" w:hAnsi="Times New Roman"/>
                <w:color w:val="000000"/>
                <w:sz w:val="20"/>
              </w:rPr>
              <w:t>.</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ImageneBio, Inc. Severance and Change in Control Plan (incorporated by reference to Exhibit 10.2 to the Registrant’s Current Report on Form 8-K (File No. 001-40287) filed with the SEC on July 23, 2026).</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Participation Agreement to ImageneBio, Inc. Severance and Change in Control Plan (incorporated by reference to Exhibit 10.3 to the Registrant’s Current Report on Form 8-K (File No. 001-40287) filed with the SEC on July 23, 2026).</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m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m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ma-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1846"/>
        <w:gridCol w:w="146"/>
        <w:gridCol w:w="451"/>
        <w:gridCol w:w="146"/>
        <w:gridCol w:w="5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ImageneBio,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Yarema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Yarema,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Yanina Grant-Huerta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Yanina Grant-Huerta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and Principal Accounting Officer)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360"/>
        <w:jc w:val="right"/>
        <w:rPr>
          <w:rFonts w:ascii="Times New Roman" w:hAnsi="Times New Roman"/>
          <w:b/>
          <w:color w:val="000000"/>
          <w:sz w:val="20"/>
        </w:rPr>
      </w:pPr>
      <w:bookmarkStart w:id="21" w:name="ima-ex31_1.htm"/>
      <w:bookmarkStart w:id="22" w:name="ksima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Kristin Yarema,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ImageneBio,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37" w:type="dxa"/>
        <w:jc w:val="left"/>
        <w:tblInd w:w="0" w:type="dxa"/>
        <w:tblLayout w:type="fixed"/>
        <w:tblCellMar>
          <w:top w:w="28" w:type="dxa"/>
          <w:left w:w="28" w:type="dxa"/>
          <w:bottom w:w="28" w:type="dxa"/>
          <w:right w:w="28" w:type="dxa"/>
        </w:tblCellMar>
      </w:tblPr>
      <w:tblGrid>
        <w:gridCol w:w="1846"/>
        <w:gridCol w:w="109"/>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Kristin Yarema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Kristin Yarema,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right"/>
        <w:rPr>
          <w:rFonts w:ascii="Times New Roman" w:hAnsi="Times New Roman"/>
          <w:b/>
          <w:color w:val="000000"/>
          <w:sz w:val="20"/>
        </w:rPr>
      </w:pPr>
      <w:bookmarkStart w:id="23" w:name="ima-ex31_2.htm"/>
      <w:bookmarkStart w:id="24" w:name="ksimaex31_2"/>
      <w:bookmarkEnd w:id="23"/>
      <w:bookmarkEnd w:id="24"/>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Yanina Grant-Huerta,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ImageneBio,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1846"/>
        <w:gridCol w:w="109"/>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Yanina Grant-Huerta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Yanina Grant-Huerta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right"/>
        <w:rPr>
          <w:rFonts w:ascii="Times New Roman" w:hAnsi="Times New Roman"/>
          <w:b/>
          <w:color w:val="000000"/>
          <w:sz w:val="20"/>
        </w:rPr>
      </w:pPr>
      <w:bookmarkStart w:id="25" w:name="ima-ex32_1.htm"/>
      <w:bookmarkStart w:id="26" w:name="ksima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this Quarterly Report on Form 10-Q for the period ending June 30, 2026 of ImageneBio, Inc. (the “Company”) as filed with the Securities and Exchange Commission on the date hereof (the “Report”), each of the undersigned hereby certifies, pursuant to 18 U.S.C. Section 1350, as adopted pursuant to Section 906 of the Sarbanes-Oxley Act of 2002, that, to the best of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1846"/>
        <w:gridCol w:w="1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Kristin Yarema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Kristin Yarema,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1846"/>
        <w:gridCol w:w="146"/>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Yanina Grant-Huerta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Yanina Grant-Huerta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Principal Financial Officer and Principal Accounting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5579/000119312524283722/d889670dex21.htm" TargetMode="External"/><Relationship Id="rId3" Type="http://schemas.openxmlformats.org/officeDocument/2006/relationships/hyperlink" Target="https://www.sec.gov/Archives/edgar/data/1835579/000119312521100292/d108142dex31.htm" TargetMode="External"/><Relationship Id="rId4" Type="http://schemas.openxmlformats.org/officeDocument/2006/relationships/hyperlink" Target="https://www.sec.gov/Archives/edgar/data/1835579/000119312525167089/d66290dex31.htm" TargetMode="External"/><Relationship Id="rId5" Type="http://schemas.openxmlformats.org/officeDocument/2006/relationships/hyperlink" Target="https://www.sec.gov/Archives/edgar/data/1835579/000119312525167089/d66290dex32.htm" TargetMode="External"/><Relationship Id="rId6" Type="http://schemas.openxmlformats.org/officeDocument/2006/relationships/hyperlink" Target="https://www.sec.gov/Archives/edgar/data/1835579/000119312521100292/d108142dex32.htm" TargetMode="External"/><Relationship Id="rId7" Type="http://schemas.openxmlformats.org/officeDocument/2006/relationships/hyperlink" Target="https://www.sec.gov/Archives/edgar/data/1835579/000119312521071313/d197729dex42.htm" TargetMode="External"/><Relationship Id="rId8" Type="http://schemas.openxmlformats.org/officeDocument/2006/relationships/hyperlink" Target="https://www.sec.gov/Archives/edgar/data/1835579/000119312525167089/d66290dex108.htm" TargetMode="External"/><Relationship Id="rId9" Type="http://schemas.openxmlformats.org/officeDocument/2006/relationships/hyperlink" Target="https://www.sec.gov/Archives/edgar/data/1835579/000119312526151942/d143873dex41.htm" TargetMode="External"/><Relationship Id="rId10" Type="http://schemas.openxmlformats.org/officeDocument/2006/relationships/hyperlink" Target="https://www.sec.gov/Archives/edgar/data/1835579/000119312526212073/ima-ex4_4.htm" TargetMode="External"/><Relationship Id="rId11" Type="http://schemas.openxmlformats.org/officeDocument/2006/relationships/hyperlink" Target="https://www.sec.gov/Archives/edgar/data/1835579/000119312526151942/d143873dex101.htm" TargetMode="External"/><Relationship Id="rId12" Type="http://schemas.openxmlformats.org/officeDocument/2006/relationships/hyperlink" Target="https://www.sec.gov/Archives/edgar/data/1835579/000119312526274139/d114862dex101.htm" TargetMode="External"/><Relationship Id="rId13" Type="http://schemas.openxmlformats.org/officeDocument/2006/relationships/hyperlink" Target="https://www.sec.gov/Archives/edgar/data/1835579/000119312526314167/d143178dex102.htm" TargetMode="External"/><Relationship Id="rId14" Type="http://schemas.openxmlformats.org/officeDocument/2006/relationships/hyperlink" Target="https://www.sec.gov/Archives/edgar/data/1835579/000119312526314167/d143178dex103.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62751</Words>
  <Characters>356595</Characters>
  <CharactersWithSpaces>419845</CharactersWithSpaces>
  <Paragraphs>5825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