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8749ds8.htm"/>
      <w:bookmarkStart w:id="1" w:name="ksd18749ds8"/>
      <w:bookmarkEnd w:id="0"/>
      <w:bookmarkEnd w:id="1"/>
      <w:r>
        <w:rPr>
          <w:rFonts w:ascii="Times New Roman" w:hAnsi="Times New Roman"/>
          <w:b/>
          <w:sz w:val="20"/>
        </w:rPr>
        <w:t xml:space="preserve">As filed with the Securities and Exchange Commission on August 5, 2026 </w:t>
      </w:r>
    </w:p>
    <w:p>
      <w:pPr>
        <w:pStyle w:val="TextBody"/>
        <w:bidi w:val="0"/>
        <w:spacing w:before="0" w:after="0"/>
        <w:jc w:val="right"/>
        <w:rPr>
          <w:rFonts w:ascii="Times New Roman" w:hAnsi="Times New Roman"/>
          <w:b/>
          <w:sz w:val="20"/>
        </w:rPr>
      </w:pPr>
      <w:r>
        <w:rPr>
          <w:rFonts w:ascii="Times New Roman" w:hAnsi="Times New Roman"/>
          <w:b/>
          <w:sz w:val="20"/>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IMAGENEBIO,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81-1697316</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12526 High Bluff Drive, Suite 345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 92130 </w:t>
      </w:r>
    </w:p>
    <w:p>
      <w:pPr>
        <w:pStyle w:val="TextBody"/>
        <w:bidi w:val="0"/>
        <w:spacing w:before="0" w:after="0"/>
        <w:jc w:val="center"/>
        <w:rPr>
          <w:rFonts w:ascii="Times New Roman" w:hAnsi="Times New Roman"/>
          <w:b/>
          <w:sz w:val="20"/>
        </w:rPr>
      </w:pPr>
      <w:r>
        <w:rPr>
          <w:rFonts w:ascii="Times New Roman" w:hAnsi="Times New Roman"/>
          <w:b/>
          <w:sz w:val="20"/>
        </w:rPr>
        <w:t xml:space="preserve">(858) 345-6265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ImageneBio, Inc. Amended and Restated 2025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Kristin Yarema, Ph.D.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12526 High Bluff Drive, Suite 345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 92130 </w:t>
      </w:r>
    </w:p>
    <w:p>
      <w:pPr>
        <w:pStyle w:val="TextBody"/>
        <w:bidi w:val="0"/>
        <w:spacing w:before="0" w:after="0"/>
        <w:jc w:val="center"/>
        <w:rPr>
          <w:rFonts w:ascii="Times New Roman" w:hAnsi="Times New Roman"/>
          <w:b/>
          <w:sz w:val="20"/>
        </w:rPr>
      </w:pPr>
      <w:r>
        <w:rPr>
          <w:rFonts w:ascii="Times New Roman" w:hAnsi="Times New Roman"/>
          <w:b/>
          <w:sz w:val="20"/>
        </w:rPr>
        <w:t xml:space="preserve">(858) 345-6265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Thomas A. Coll, Esq. </w:t>
      </w:r>
    </w:p>
    <w:p>
      <w:pPr>
        <w:pStyle w:val="TextBody"/>
        <w:bidi w:val="0"/>
        <w:spacing w:before="0" w:after="0"/>
        <w:jc w:val="center"/>
        <w:rPr>
          <w:rFonts w:ascii="Times New Roman" w:hAnsi="Times New Roman"/>
          <w:b/>
          <w:sz w:val="20"/>
        </w:rPr>
      </w:pPr>
      <w:r>
        <w:rPr>
          <w:rFonts w:ascii="Times New Roman" w:hAnsi="Times New Roman"/>
          <w:b/>
          <w:sz w:val="20"/>
        </w:rPr>
        <w:t xml:space="preserve">Asa M. Henin, Esq. </w:t>
      </w:r>
    </w:p>
    <w:p>
      <w:pPr>
        <w:pStyle w:val="TextBody"/>
        <w:bidi w:val="0"/>
        <w:spacing w:before="0" w:after="0"/>
        <w:jc w:val="center"/>
        <w:rPr>
          <w:rFonts w:ascii="Times New Roman" w:hAnsi="Times New Roman"/>
          <w:b/>
          <w:sz w:val="20"/>
        </w:rPr>
      </w:pPr>
      <w:r>
        <w:rPr>
          <w:rFonts w:ascii="Times New Roman" w:hAnsi="Times New Roman"/>
          <w:b/>
          <w:sz w:val="20"/>
        </w:rPr>
        <w:t xml:space="preserve">Brittany K. Wightman, Esq. </w:t>
      </w:r>
    </w:p>
    <w:p>
      <w:pPr>
        <w:pStyle w:val="TextBody"/>
        <w:bidi w:val="0"/>
        <w:spacing w:before="0" w:after="0"/>
        <w:jc w:val="center"/>
        <w:rPr>
          <w:rFonts w:ascii="Times New Roman" w:hAnsi="Times New Roman"/>
          <w:b/>
          <w:sz w:val="20"/>
        </w:rPr>
      </w:pPr>
      <w:r>
        <w:rPr>
          <w:rFonts w:ascii="Times New Roman" w:hAnsi="Times New Roman"/>
          <w:b/>
          <w:sz w:val="20"/>
        </w:rPr>
        <w:t xml:space="preserve">Cooley LLP </w:t>
      </w:r>
    </w:p>
    <w:p>
      <w:pPr>
        <w:pStyle w:val="TextBody"/>
        <w:bidi w:val="0"/>
        <w:spacing w:before="0" w:after="0"/>
        <w:jc w:val="center"/>
        <w:rPr>
          <w:rFonts w:ascii="Times New Roman" w:hAnsi="Times New Roman"/>
          <w:b/>
          <w:sz w:val="20"/>
        </w:rPr>
      </w:pPr>
      <w:r>
        <w:rPr>
          <w:rFonts w:ascii="Times New Roman" w:hAnsi="Times New Roman"/>
          <w:b/>
          <w:sz w:val="20"/>
        </w:rPr>
        <w:t xml:space="preserve">10265 Science Center Drive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 92121 </w:t>
      </w:r>
    </w:p>
    <w:p>
      <w:pPr>
        <w:pStyle w:val="TextBody"/>
        <w:bidi w:val="0"/>
        <w:spacing w:before="0" w:after="0"/>
        <w:jc w:val="center"/>
        <w:rPr>
          <w:rFonts w:ascii="Times New Roman" w:hAnsi="Times New Roman"/>
          <w:b/>
          <w:sz w:val="20"/>
        </w:rPr>
      </w:pPr>
      <w:r>
        <w:rPr>
          <w:rFonts w:ascii="Times New Roman" w:hAnsi="Times New Roman"/>
          <w:b/>
          <w:sz w:val="20"/>
        </w:rPr>
        <w:t xml:space="preserve">(858) 550-6000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pPr>
      <w:r>
        <w:rPr>
          <w:rFonts w:ascii="Times New Roman" w:hAnsi="Times New Roman"/>
          <w:sz w:val="20"/>
        </w:rPr>
        <w:t>This Registration Statement on Form S-8 (this “Registration Statement”) is being filed by ImageneBio, Inc. (the “Registrant”) for the purpose of increasing the number of securities of the same class as other securities for which Registration Statements on Form S-8 relating to the same employee benefit plan are effective. The Registrant previously registered its shares of common stock, par value $0.001 per share (the “Common Stock”), for issuance under the Registrant’s 2025 Equity Incentive Plan (the “2025 Plan”) under the Registrant’s Registration Statements on Form S-8 filed with the Securities and Exchange Commission (the “Commission”) on November  12, 2025 (File No.</w:t>
      </w:r>
      <w:hyperlink r:id="rId2">
        <w:r>
          <w:rPr>
            <w:rStyle w:val="InternetLink"/>
            <w:rFonts w:ascii="Times New Roman" w:hAnsi="Times New Roman"/>
            <w:sz w:val="20"/>
            <w:u w:val="single"/>
          </w:rPr>
          <w:t> 333-291449</w:t>
        </w:r>
      </w:hyperlink>
      <w:r>
        <w:rPr>
          <w:rFonts w:ascii="Times New Roman" w:hAnsi="Times New Roman"/>
          <w:sz w:val="20"/>
        </w:rPr>
        <w:t>) and March  10, 2026 (File No.</w:t>
      </w:r>
      <w:hyperlink r:id="rId3">
        <w:r>
          <w:rPr>
            <w:rStyle w:val="InternetLink"/>
            <w:rFonts w:ascii="Times New Roman" w:hAnsi="Times New Roman"/>
            <w:sz w:val="20"/>
          </w:rPr>
          <w:t> 333-294174</w:t>
        </w:r>
      </w:hyperlink>
      <w:r>
        <w:rPr>
          <w:rFonts w:ascii="Times New Roman" w:hAnsi="Times New Roman"/>
          <w:sz w:val="20"/>
        </w:rPr>
        <w:t xml:space="preserve">) (the “Prior Registration Statements”). In accordance with General Instruction E to Form S-8, the contents of the Prior Registration Statements are hereby incorporated by reference.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filed by the Registrant with the Commission are incorporated by reference into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the Registrant’s Annual Report on Form 10-K for the fiscal year ended December 31, 2025, filed with the Commission on </w:t>
            </w:r>
            <w:hyperlink r:id="rId4">
              <w:r>
                <w:rPr>
                  <w:rStyle w:val="InternetLink"/>
                  <w:rFonts w:ascii="Times New Roman" w:hAnsi="Times New Roman"/>
                  <w:sz w:val="20"/>
                </w:rPr>
                <w:t>March 10, 2026</w:t>
              </w:r>
            </w:hyperlink>
            <w:r>
              <w:rPr>
                <w:rFonts w:ascii="Times New Roman" w:hAnsi="Times New Roman"/>
                <w:sz w:val="20"/>
              </w:rPr>
              <w:t xml:space="preserve"> (the “2025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the 2025 Annual Report from the Registrant’s definitive proxy statement on Schedule 14A, filed with the Commission on </w:t>
            </w:r>
            <w:hyperlink r:id="rId5">
              <w:r>
                <w:rPr>
                  <w:rStyle w:val="InternetLink"/>
                  <w:rFonts w:ascii="Times New Roman" w:hAnsi="Times New Roman"/>
                  <w:sz w:val="20"/>
                </w:rPr>
                <w:t>April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pPr>
            <w:r>
              <w:rPr>
                <w:rFonts w:ascii="Times New Roman" w:hAnsi="Times New Roman"/>
                <w:sz w:val="20"/>
              </w:rPr>
              <w:t xml:space="preserve">the Registrant’s Quarterly Reports on Form 10-Q for the quarters ended March 31, 2026 and June 30, 2026, filed with the Commission on </w:t>
            </w:r>
            <w:hyperlink r:id="rId6">
              <w:r>
                <w:rPr>
                  <w:rStyle w:val="InternetLink"/>
                  <w:rFonts w:ascii="Times New Roman" w:hAnsi="Times New Roman"/>
                  <w:sz w:val="20"/>
                </w:rPr>
                <w:t>May  7, 2026</w:t>
              </w:r>
            </w:hyperlink>
            <w:r>
              <w:rPr>
                <w:rFonts w:ascii="Times New Roman" w:hAnsi="Times New Roman"/>
                <w:sz w:val="20"/>
              </w:rPr>
              <w:t xml:space="preserve"> and </w:t>
            </w:r>
            <w:hyperlink r:id="rId7">
              <w:r>
                <w:rPr>
                  <w:rStyle w:val="InternetLink"/>
                  <w:rFonts w:ascii="Times New Roman" w:hAnsi="Times New Roman"/>
                  <w:sz w:val="20"/>
                </w:rPr>
                <w:t>August 5,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pPr>
            <w:r>
              <w:rPr>
                <w:rFonts w:ascii="Times New Roman" w:hAnsi="Times New Roman"/>
                <w:sz w:val="20"/>
              </w:rPr>
              <w:t xml:space="preserve">the Registrant’s Current Reports on Form 8-K filed with the Commission on </w:t>
            </w:r>
            <w:hyperlink r:id="rId8">
              <w:r>
                <w:rPr>
                  <w:rStyle w:val="InternetLink"/>
                  <w:rFonts w:ascii="Times New Roman" w:hAnsi="Times New Roman"/>
                  <w:sz w:val="20"/>
                </w:rPr>
                <w:t>February  17, 2026</w:t>
              </w:r>
            </w:hyperlink>
            <w:r>
              <w:rPr>
                <w:rFonts w:ascii="Times New Roman" w:hAnsi="Times New Roman"/>
                <w:sz w:val="20"/>
              </w:rPr>
              <w:t xml:space="preserve">, </w:t>
            </w:r>
            <w:hyperlink r:id="rId9">
              <w:r>
                <w:rPr>
                  <w:rStyle w:val="InternetLink"/>
                  <w:rFonts w:ascii="Times New Roman" w:hAnsi="Times New Roman"/>
                  <w:sz w:val="20"/>
                </w:rPr>
                <w:t>March  17, 2026</w:t>
              </w:r>
            </w:hyperlink>
            <w:r>
              <w:rPr>
                <w:rFonts w:ascii="Times New Roman" w:hAnsi="Times New Roman"/>
                <w:sz w:val="20"/>
              </w:rPr>
              <w:t xml:space="preserve">, </w:t>
            </w:r>
            <w:hyperlink r:id="rId10">
              <w:r>
                <w:rPr>
                  <w:rStyle w:val="InternetLink"/>
                  <w:rFonts w:ascii="Times New Roman" w:hAnsi="Times New Roman"/>
                  <w:sz w:val="20"/>
                </w:rPr>
                <w:t>April  13, 2026</w:t>
              </w:r>
            </w:hyperlink>
            <w:r>
              <w:rPr>
                <w:rFonts w:ascii="Times New Roman" w:hAnsi="Times New Roman"/>
                <w:sz w:val="20"/>
              </w:rPr>
              <w:t xml:space="preserve">, </w:t>
            </w:r>
            <w:hyperlink r:id="rId11">
              <w:r>
                <w:rPr>
                  <w:rStyle w:val="InternetLink"/>
                  <w:rFonts w:ascii="Times New Roman" w:hAnsi="Times New Roman"/>
                  <w:sz w:val="20"/>
                </w:rPr>
                <w:t>June  17, 2026</w:t>
              </w:r>
            </w:hyperlink>
            <w:r>
              <w:rPr>
                <w:rFonts w:ascii="Times New Roman" w:hAnsi="Times New Roman"/>
                <w:sz w:val="20"/>
              </w:rPr>
              <w:t xml:space="preserve">, </w:t>
            </w:r>
            <w:hyperlink r:id="rId12">
              <w:r>
                <w:rPr>
                  <w:rStyle w:val="InternetLink"/>
                  <w:rFonts w:ascii="Times New Roman" w:hAnsi="Times New Roman"/>
                  <w:sz w:val="20"/>
                </w:rPr>
                <w:t>June  26, 2026</w:t>
              </w:r>
            </w:hyperlink>
            <w:r>
              <w:rPr>
                <w:rFonts w:ascii="Times New Roman" w:hAnsi="Times New Roman"/>
                <w:sz w:val="20"/>
              </w:rPr>
              <w:t xml:space="preserve"> and </w:t>
            </w:r>
            <w:hyperlink r:id="rId13">
              <w:r>
                <w:rPr>
                  <w:rStyle w:val="InternetLink"/>
                  <w:rFonts w:ascii="Times New Roman" w:hAnsi="Times New Roman"/>
                  <w:sz w:val="20"/>
                </w:rPr>
                <w:t>July 23,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pPr>
            <w:r>
              <w:rPr>
                <w:rFonts w:ascii="Times New Roman" w:hAnsi="Times New Roman"/>
                <w:sz w:val="20"/>
              </w:rPr>
              <w:t xml:space="preserve">the description of the Registrant’s Common Stock contained in </w:t>
            </w:r>
            <w:hyperlink r:id="rId14">
              <w:r>
                <w:rPr>
                  <w:rStyle w:val="InternetLink"/>
                  <w:rFonts w:ascii="Times New Roman" w:hAnsi="Times New Roman"/>
                  <w:sz w:val="20"/>
                </w:rPr>
                <w:t>Exhibit 4.4</w:t>
              </w:r>
            </w:hyperlink>
            <w:r>
              <w:rPr>
                <w:rFonts w:ascii="Times New Roman" w:hAnsi="Times New Roman"/>
                <w:sz w:val="20"/>
              </w:rPr>
              <w:t xml:space="preserve"> to the 2025 Annual Report, including all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the Registrant with the Commission pursuant to Sections 13(a), 13(c), 14 and 15(d) of the Exchange Act (other than Current Reports furnished under Item 2.02 or Item 7.01 of exhibits furnished on such form that relate to such items and other portions of documents that are furnished but not filed or are otherwise not incorporated into registration statements pursuant to the applicable rules promulgated by the Commission), prior to the filing of a post-effective amendment to this Registration Statement that indicates that all securities offered hereby have been sold or that deregisters all securities remaining unsold, shall be deemed to be incorporated by reference in this Registration Statement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including financial statements, contained in a document incorporated or deemed to be incorporated by reference herein shall be deemed to be modified or superseded for purposes of this Registration Statement to the extent that a statement contained herein or therein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2"/>
        <w:gridCol w:w="316"/>
        <w:gridCol w:w="9317"/>
      </w:tblGrid>
      <w:tr>
        <w:trPr/>
        <w:tc>
          <w:tcPr>
            <w:tcW w:w="57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9317" w:type="dxa"/>
            <w:tcBorders/>
            <w:vAlign w:val="center"/>
          </w:tcPr>
          <w:p>
            <w:pPr>
              <w:pStyle w:val="TableContents"/>
              <w:bidi w:val="0"/>
              <w:spacing w:before="0" w:after="283"/>
              <w:jc w:val="left"/>
              <w:rPr>
                <w:sz w:val="4"/>
                <w:szCs w:val="4"/>
              </w:rPr>
            </w:pPr>
            <w:r>
              <w:rPr>
                <w:sz w:val="4"/>
                <w:szCs w:val="4"/>
              </w:rPr>
            </w:r>
          </w:p>
        </w:tc>
      </w:tr>
      <w:tr>
        <w:trPr/>
        <w:tc>
          <w:tcPr>
            <w:tcW w:w="572"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316" w:type="dxa"/>
            <w:tcBorders/>
            <w:vAlign w:val="bottom"/>
          </w:tcPr>
          <w:p>
            <w:pPr>
              <w:pStyle w:val="TableContents"/>
              <w:bidi w:val="0"/>
              <w:spacing w:before="0" w:after="283"/>
              <w:jc w:val="left"/>
              <w:rPr/>
            </w:pPr>
            <w:r>
              <w:rPr/>
              <w:t>  </w:t>
            </w:r>
          </w:p>
        </w:tc>
        <w:tc>
          <w:tcPr>
            <w:tcW w:w="9317" w:type="dxa"/>
            <w:tcBorders/>
            <w:vAlign w:val="bottom"/>
          </w:tcPr>
          <w:p>
            <w:pPr>
              <w:pStyle w:val="TableContents"/>
              <w:bidi w:val="0"/>
              <w:spacing w:before="0" w:after="283"/>
              <w:jc w:val="center"/>
              <w:rPr>
                <w:b/>
              </w:rPr>
            </w:pPr>
            <w:r>
              <w:rPr>
                <w:b/>
              </w:rPr>
              <w:t>Exhibit Description</w:t>
            </w:r>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4.1</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r:id="rId15">
              <w:r>
                <w:rPr>
                  <w:rStyle w:val="InternetLink"/>
                </w:rPr>
                <w:t>Fifth Amended and Restated Certificate of Incorporation of the Registrant (incorporated by reference to Exhibit 3.1 to the Registrant’s Current Report on Form 8-K, filed with the Commission on March 30, 2021).</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4.2</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r:id="rId16">
              <w:r>
                <w:rPr>
                  <w:rStyle w:val="InternetLink"/>
                </w:rPr>
                <w:t>Certificate of Amendment to the Fifth Amended and Restated Certificate of Incorporation of the Registrant, dated July  25, 2025 (Stock Split Amendment) (incorporated by reference to Exhibit 3.1 to the Registrant’s Current Report on Form 8-K, filed with the Commission on July 29, 2025).</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4.3</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r:id="rId17">
              <w:r>
                <w:rPr>
                  <w:rStyle w:val="InternetLink"/>
                </w:rPr>
                <w:t>Certificate of Amendment to the Fifth Amended and Restated Certificate of Incorporation of the Registrant, dated July  25, 2025 (Name Change Amendment) (incorporated by reference to Exhibit 3.2 to the Registrant’s Current Report on Form 8-K,filed with the Commission on July 29, 2025).</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4.4</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r:id="rId18">
              <w:r>
                <w:rPr>
                  <w:rStyle w:val="InternetLink"/>
                </w:rPr>
                <w:t>Amended and Restated Bylaws of the Registrant (incorporated by reference to Exhibit 3.2 to the Registrant’s Current Report on Form 8-K, filed with the Commission on March 30, 2021).</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5.1</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w:anchor="d18749dex51.htm">
              <w:r>
                <w:rPr>
                  <w:rStyle w:val="InternetLink"/>
                </w:rPr>
                <w:t xml:space="preserve">Opinion of Cooley LLP. </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23.1</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w:anchor="d18749dex231.htm">
              <w:r>
                <w:rPr>
                  <w:rStyle w:val="InternetLink"/>
                </w:rPr>
                <w:t xml:space="preserve">Consent of PricewaterhouseCoopers LLP, Independent Registered Public Accounting Firm. </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23.2</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w:anchor="d18749dex51.htm">
              <w:r>
                <w:rPr>
                  <w:rStyle w:val="InternetLink"/>
                </w:rPr>
                <w:t xml:space="preserve">Consent of Cooley LLP (included in Exhibit 5.1). </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24.1</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w:anchor="sig">
              <w:r>
                <w:rPr>
                  <w:rStyle w:val="InternetLink"/>
                </w:rPr>
                <w:t xml:space="preserve">Power of Attorney (included on the signature page to this Registration Statement). </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99.1</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r:id="rId19">
              <w:r>
                <w:rPr>
                  <w:rStyle w:val="InternetLink"/>
                </w:rPr>
                <w:t>The Registrant’s Amended and Restated 2025 Equity Incentive Plan (incorporated by reference to Exhibit 10.1 to the Current Report on Form 8-K, filed with the Commission on June 17, 2026).</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99.2</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r:id="rId20">
              <w:r>
                <w:rPr>
                  <w:rStyle w:val="InternetLink"/>
                </w:rPr>
                <w:t>Forms of Option Award Notice, Option Agreement and Notice of Exercise under the Registrant’s 2025 Equity Incentive Plan (incorporated by reference to Exhibit 10.21 to the Registrant’s Current Report on Form 8-K, filed with the Commission on July 29, 2025).</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99.3</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r:id="rId21">
              <w:r>
                <w:rPr>
                  <w:rStyle w:val="InternetLink"/>
                </w:rPr>
                <w:t>Forms of Restricted Stock Unit Grant Notice and Unit Award Agreement under the Registrant’s 2025 Equity Incentive Plan (incorporated by reference to Exhibit 10.22 to the Registrant’s Current Report on Form 8-K, filed with the Commission on July 29, 2025).</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107.1</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w:anchor="d18749dexfilingfees.htm">
              <w:r>
                <w:rPr>
                  <w:rStyle w:val="InternetLink"/>
                </w:rPr>
                <w:t xml:space="preserve">Filing Fee Table.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the 5th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1"/>
        <w:gridCol w:w="60"/>
        <w:gridCol w:w="3331"/>
      </w:tblGrid>
      <w:tr>
        <w:trPr/>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IMAGENEBIO, INC.</w:t>
            </w:r>
          </w:p>
        </w:tc>
      </w:tr>
      <w:tr>
        <w:trPr>
          <w:trHeight w:val="240" w:hRule="atLeast"/>
        </w:trPr>
        <w:tc>
          <w:tcPr>
            <w:tcW w:w="691" w:type="dxa"/>
            <w:tcBorders/>
            <w:vAlign w:val="center"/>
          </w:tcPr>
          <w:p>
            <w:pPr>
              <w:pStyle w:val="TableContents"/>
              <w:bidi w:val="0"/>
              <w:spacing w:before="0" w:after="283"/>
              <w:jc w:val="left"/>
              <w:rPr>
                <w:sz w:val="4"/>
                <w:szCs w:val="4"/>
              </w:rPr>
            </w:pPr>
            <w:r>
              <w:rPr>
                <w:sz w:val="4"/>
                <w:szCs w:val="4"/>
              </w:rPr>
            </w:r>
          </w:p>
        </w:tc>
        <w:tc>
          <w:tcPr>
            <w:tcW w:w="3391"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Kristin Yarema</w:t>
            </w:r>
          </w:p>
        </w:tc>
      </w:tr>
      <w:tr>
        <w:trPr/>
        <w:tc>
          <w:tcPr>
            <w:tcW w:w="69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pPr>
            <w:r>
              <w:rPr/>
              <w:t>Kristin Yarema, Ph.D.</w:t>
            </w:r>
          </w:p>
        </w:tc>
      </w:tr>
      <w:tr>
        <w:trPr/>
        <w:tc>
          <w:tcPr>
            <w:tcW w:w="69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Kristin Yarema, Ph.D. as the individual’s true and lawful attorney-in-fact and agent, with full power of substitution and resubstitution, for him or her and in his or her name, place and stead, in any and all capacities, to sign any and all amendments to this Registration Statement, and to file the same, with all exhibits thereto and other documents in connection therewith, with the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their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below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83"/>
        <w:gridCol w:w="121"/>
        <w:gridCol w:w="4859"/>
        <w:gridCol w:w="121"/>
        <w:gridCol w:w="1721"/>
      </w:tblGrid>
      <w:tr>
        <w:trPr/>
        <w:tc>
          <w:tcPr>
            <w:tcW w:w="338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33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48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1" w:type="dxa"/>
            <w:tcBorders/>
            <w:vAlign w:val="bottom"/>
          </w:tcPr>
          <w:p>
            <w:pPr>
              <w:pStyle w:val="TableContents"/>
              <w:bidi w:val="0"/>
              <w:spacing w:before="0" w:after="283"/>
              <w:jc w:val="left"/>
              <w:rPr/>
            </w:pPr>
            <w:r>
              <w:rPr/>
              <w:t>  </w:t>
            </w:r>
          </w:p>
        </w:tc>
        <w:tc>
          <w:tcPr>
            <w:tcW w:w="17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383" w:type="dxa"/>
            <w:tcBorders/>
            <w:vAlign w:val="center"/>
          </w:tcPr>
          <w:p>
            <w:pPr>
              <w:pStyle w:val="TableContents"/>
              <w:bidi w:val="0"/>
              <w:spacing w:before="0" w:after="283"/>
              <w:jc w:val="left"/>
              <w:rPr>
                <w:sz w:val="4"/>
                <w:szCs w:val="4"/>
              </w:rPr>
            </w:pPr>
            <w:r>
              <w:rPr>
                <w:sz w:val="4"/>
                <w:szCs w:val="4"/>
              </w:rPr>
            </w:r>
          </w:p>
        </w:tc>
        <w:tc>
          <w:tcPr>
            <w:tcW w:w="4980" w:type="dxa"/>
            <w:gridSpan w:val="2"/>
            <w:tcBorders/>
            <w:vAlign w:val="center"/>
          </w:tcPr>
          <w:p>
            <w:pPr>
              <w:pStyle w:val="TableContents"/>
              <w:bidi w:val="0"/>
              <w:spacing w:before="0" w:after="283"/>
              <w:jc w:val="left"/>
              <w:rPr>
                <w:sz w:val="4"/>
                <w:szCs w:val="4"/>
              </w:rPr>
            </w:pPr>
            <w:r>
              <w:rPr>
                <w:sz w:val="4"/>
                <w:szCs w:val="4"/>
              </w:rPr>
            </w:r>
          </w:p>
        </w:tc>
        <w:tc>
          <w:tcPr>
            <w:tcW w:w="1842" w:type="dxa"/>
            <w:gridSpan w:val="2"/>
            <w:tcBorders/>
            <w:vAlign w:val="center"/>
          </w:tcPr>
          <w:p>
            <w:pPr>
              <w:pStyle w:val="TableContents"/>
              <w:bidi w:val="0"/>
              <w:spacing w:before="0" w:after="283"/>
              <w:jc w:val="left"/>
              <w:rPr>
                <w:sz w:val="4"/>
                <w:szCs w:val="4"/>
              </w:rPr>
            </w:pPr>
            <w:r>
              <w:rPr>
                <w:sz w:val="4"/>
                <w:szCs w:val="4"/>
              </w:rPr>
            </w:r>
          </w:p>
        </w:tc>
      </w:tr>
      <w:tr>
        <w:trPr/>
        <w:tc>
          <w:tcPr>
            <w:tcW w:w="338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Kristin Yarema</w:t>
            </w:r>
          </w:p>
          <w:p>
            <w:pPr>
              <w:pStyle w:val="TableContents"/>
              <w:bidi w:val="0"/>
              <w:spacing w:before="0" w:after="20"/>
              <w:jc w:val="center"/>
              <w:rPr>
                <w:rFonts w:ascii="Times New Roman" w:hAnsi="Times New Roman"/>
                <w:sz w:val="20"/>
              </w:rPr>
            </w:pPr>
            <w:r>
              <w:rPr>
                <w:rFonts w:ascii="Times New Roman" w:hAnsi="Times New Roman"/>
                <w:sz w:val="20"/>
              </w:rPr>
              <w:t>Kristin Yarema, Ph.D.</w:t>
            </w:r>
          </w:p>
        </w:tc>
        <w:tc>
          <w:tcPr>
            <w:tcW w:w="121" w:type="dxa"/>
            <w:tcBorders/>
            <w:vAlign w:val="bottom"/>
          </w:tcPr>
          <w:p>
            <w:pPr>
              <w:pStyle w:val="TableContents"/>
              <w:bidi w:val="0"/>
              <w:spacing w:before="0" w:after="283"/>
              <w:jc w:val="left"/>
              <w:rPr/>
            </w:pPr>
            <w:r>
              <w:rPr/>
              <w:t>  </w:t>
            </w:r>
          </w:p>
        </w:tc>
        <w:tc>
          <w:tcPr>
            <w:tcW w:w="4859"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21"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283"/>
              <w:jc w:val="center"/>
              <w:rPr/>
            </w:pPr>
            <w:r>
              <w:rPr/>
              <w:t>August 5, 2026</w:t>
            </w:r>
          </w:p>
        </w:tc>
      </w:tr>
      <w:tr>
        <w:trPr>
          <w:trHeight w:val="240" w:hRule="atLeast"/>
        </w:trPr>
        <w:tc>
          <w:tcPr>
            <w:tcW w:w="3383" w:type="dxa"/>
            <w:tcBorders/>
            <w:vAlign w:val="center"/>
          </w:tcPr>
          <w:p>
            <w:pPr>
              <w:pStyle w:val="TableContents"/>
              <w:bidi w:val="0"/>
              <w:spacing w:before="0" w:after="283"/>
              <w:jc w:val="left"/>
              <w:rPr>
                <w:sz w:val="4"/>
                <w:szCs w:val="4"/>
              </w:rPr>
            </w:pPr>
            <w:r>
              <w:rPr>
                <w:sz w:val="4"/>
                <w:szCs w:val="4"/>
              </w:rPr>
            </w:r>
          </w:p>
        </w:tc>
        <w:tc>
          <w:tcPr>
            <w:tcW w:w="4980" w:type="dxa"/>
            <w:gridSpan w:val="2"/>
            <w:tcBorders/>
            <w:vAlign w:val="center"/>
          </w:tcPr>
          <w:p>
            <w:pPr>
              <w:pStyle w:val="TableContents"/>
              <w:bidi w:val="0"/>
              <w:spacing w:before="0" w:after="283"/>
              <w:jc w:val="left"/>
              <w:rPr>
                <w:sz w:val="4"/>
                <w:szCs w:val="4"/>
              </w:rPr>
            </w:pPr>
            <w:r>
              <w:rPr>
                <w:sz w:val="4"/>
                <w:szCs w:val="4"/>
              </w:rPr>
            </w:r>
          </w:p>
        </w:tc>
        <w:tc>
          <w:tcPr>
            <w:tcW w:w="1842" w:type="dxa"/>
            <w:gridSpan w:val="2"/>
            <w:tcBorders/>
            <w:vAlign w:val="center"/>
          </w:tcPr>
          <w:p>
            <w:pPr>
              <w:pStyle w:val="TableContents"/>
              <w:bidi w:val="0"/>
              <w:spacing w:before="0" w:after="283"/>
              <w:jc w:val="left"/>
              <w:rPr>
                <w:sz w:val="4"/>
                <w:szCs w:val="4"/>
              </w:rPr>
            </w:pPr>
            <w:r>
              <w:rPr>
                <w:sz w:val="4"/>
                <w:szCs w:val="4"/>
              </w:rPr>
            </w:r>
          </w:p>
        </w:tc>
      </w:tr>
      <w:tr>
        <w:trPr/>
        <w:tc>
          <w:tcPr>
            <w:tcW w:w="338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Yanina Grant</w:t>
            </w:r>
          </w:p>
        </w:tc>
        <w:tc>
          <w:tcPr>
            <w:tcW w:w="121" w:type="dxa"/>
            <w:vMerge w:val="restart"/>
            <w:tcBorders/>
            <w:vAlign w:val="bottom"/>
          </w:tcPr>
          <w:p>
            <w:pPr>
              <w:pStyle w:val="TableContents"/>
              <w:bidi w:val="0"/>
              <w:spacing w:before="0" w:after="283"/>
              <w:jc w:val="left"/>
              <w:rPr/>
            </w:pPr>
            <w:r>
              <w:rPr/>
              <w:t>  </w:t>
            </w:r>
          </w:p>
        </w:tc>
        <w:tc>
          <w:tcPr>
            <w:tcW w:w="4859" w:type="dxa"/>
            <w:vMerge w:val="restart"/>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 and Principal Accounting Officer)</w:t>
            </w:r>
          </w:p>
        </w:tc>
        <w:tc>
          <w:tcPr>
            <w:tcW w:w="121" w:type="dxa"/>
            <w:vMerge w:val="restart"/>
            <w:tcBorders/>
            <w:vAlign w:val="bottom"/>
          </w:tcPr>
          <w:p>
            <w:pPr>
              <w:pStyle w:val="TableContents"/>
              <w:bidi w:val="0"/>
              <w:spacing w:before="0" w:after="283"/>
              <w:jc w:val="left"/>
              <w:rPr/>
            </w:pPr>
            <w:r>
              <w:rPr/>
              <w:t>  </w:t>
            </w:r>
          </w:p>
        </w:tc>
        <w:tc>
          <w:tcPr>
            <w:tcW w:w="1721" w:type="dxa"/>
            <w:vMerge w:val="restart"/>
            <w:tcBorders/>
          </w:tcPr>
          <w:p>
            <w:pPr>
              <w:pStyle w:val="TableContents"/>
              <w:bidi w:val="0"/>
              <w:spacing w:before="0" w:after="283"/>
              <w:jc w:val="center"/>
              <w:rPr/>
            </w:pPr>
            <w:r>
              <w:rPr/>
              <w:t>August 5, 2026</w:t>
            </w:r>
          </w:p>
        </w:tc>
      </w:tr>
      <w:tr>
        <w:trPr/>
        <w:tc>
          <w:tcPr>
            <w:tcW w:w="3383" w:type="dxa"/>
            <w:tcBorders/>
          </w:tcPr>
          <w:p>
            <w:pPr>
              <w:pStyle w:val="TableContents"/>
              <w:bidi w:val="0"/>
              <w:spacing w:before="0" w:after="283"/>
              <w:jc w:val="center"/>
              <w:rPr/>
            </w:pPr>
            <w:r>
              <w:rPr/>
              <w:t>Yanina Grant</w:t>
            </w:r>
          </w:p>
        </w:tc>
        <w:tc>
          <w:tcPr>
            <w:tcW w:w="121" w:type="dxa"/>
            <w:vMerge w:val="continue"/>
            <w:tcBorders/>
            <w:vAlign w:val="bottom"/>
          </w:tcPr>
          <w:p>
            <w:pPr>
              <w:pStyle w:val="Normal"/>
              <w:bidi w:val="0"/>
              <w:jc w:val="left"/>
              <w:rPr/>
            </w:pPr>
            <w:r>
              <w:rPr/>
            </w:r>
          </w:p>
        </w:tc>
        <w:tc>
          <w:tcPr>
            <w:tcW w:w="4859" w:type="dxa"/>
            <w:vMerge w:val="continue"/>
            <w:tcBorders/>
            <w:vAlign w:val="bottom"/>
          </w:tcPr>
          <w:p>
            <w:pPr>
              <w:pStyle w:val="Normal"/>
              <w:bidi w:val="0"/>
              <w:jc w:val="left"/>
              <w:rPr/>
            </w:pPr>
            <w:r>
              <w:rPr/>
            </w:r>
          </w:p>
        </w:tc>
        <w:tc>
          <w:tcPr>
            <w:tcW w:w="121" w:type="dxa"/>
            <w:vMerge w:val="continue"/>
            <w:tcBorders/>
            <w:vAlign w:val="bottom"/>
          </w:tcPr>
          <w:p>
            <w:pPr>
              <w:pStyle w:val="Normal"/>
              <w:bidi w:val="0"/>
              <w:jc w:val="left"/>
              <w:rPr/>
            </w:pPr>
            <w:r>
              <w:rPr/>
            </w:r>
          </w:p>
        </w:tc>
        <w:tc>
          <w:tcPr>
            <w:tcW w:w="1721" w:type="dxa"/>
            <w:vMerge w:val="continue"/>
            <w:tcBorders/>
          </w:tcPr>
          <w:p>
            <w:pPr>
              <w:pStyle w:val="Normal"/>
              <w:bidi w:val="0"/>
              <w:jc w:val="left"/>
              <w:rPr/>
            </w:pPr>
            <w:r>
              <w:rPr/>
            </w:r>
          </w:p>
        </w:tc>
      </w:tr>
      <w:tr>
        <w:trPr>
          <w:trHeight w:val="240" w:hRule="atLeast"/>
        </w:trPr>
        <w:tc>
          <w:tcPr>
            <w:tcW w:w="3383" w:type="dxa"/>
            <w:tcBorders/>
            <w:vAlign w:val="center"/>
          </w:tcPr>
          <w:p>
            <w:pPr>
              <w:pStyle w:val="TableContents"/>
              <w:bidi w:val="0"/>
              <w:spacing w:before="0" w:after="283"/>
              <w:jc w:val="left"/>
              <w:rPr>
                <w:sz w:val="4"/>
                <w:szCs w:val="4"/>
              </w:rPr>
            </w:pPr>
            <w:r>
              <w:rPr>
                <w:sz w:val="4"/>
                <w:szCs w:val="4"/>
              </w:rPr>
            </w:r>
          </w:p>
        </w:tc>
        <w:tc>
          <w:tcPr>
            <w:tcW w:w="4980" w:type="dxa"/>
            <w:gridSpan w:val="2"/>
            <w:tcBorders/>
            <w:vAlign w:val="center"/>
          </w:tcPr>
          <w:p>
            <w:pPr>
              <w:pStyle w:val="TableContents"/>
              <w:bidi w:val="0"/>
              <w:spacing w:before="0" w:after="283"/>
              <w:jc w:val="left"/>
              <w:rPr>
                <w:sz w:val="4"/>
                <w:szCs w:val="4"/>
              </w:rPr>
            </w:pPr>
            <w:r>
              <w:rPr>
                <w:sz w:val="4"/>
                <w:szCs w:val="4"/>
              </w:rPr>
            </w:r>
          </w:p>
        </w:tc>
        <w:tc>
          <w:tcPr>
            <w:tcW w:w="1842" w:type="dxa"/>
            <w:gridSpan w:val="2"/>
            <w:tcBorders/>
            <w:vAlign w:val="center"/>
          </w:tcPr>
          <w:p>
            <w:pPr>
              <w:pStyle w:val="TableContents"/>
              <w:bidi w:val="0"/>
              <w:spacing w:before="0" w:after="283"/>
              <w:jc w:val="left"/>
              <w:rPr>
                <w:sz w:val="4"/>
                <w:szCs w:val="4"/>
              </w:rPr>
            </w:pPr>
            <w:r>
              <w:rPr>
                <w:sz w:val="4"/>
                <w:szCs w:val="4"/>
              </w:rPr>
            </w:r>
          </w:p>
        </w:tc>
      </w:tr>
      <w:tr>
        <w:trPr/>
        <w:tc>
          <w:tcPr>
            <w:tcW w:w="338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Jonathan Jian Wang</w:t>
            </w:r>
          </w:p>
          <w:p>
            <w:pPr>
              <w:pStyle w:val="TableContents"/>
              <w:bidi w:val="0"/>
              <w:spacing w:before="0" w:after="20"/>
              <w:jc w:val="center"/>
              <w:rPr>
                <w:rFonts w:ascii="Times New Roman" w:hAnsi="Times New Roman"/>
                <w:sz w:val="20"/>
              </w:rPr>
            </w:pPr>
            <w:r>
              <w:rPr>
                <w:rFonts w:ascii="Times New Roman" w:hAnsi="Times New Roman"/>
                <w:sz w:val="20"/>
              </w:rPr>
              <w:t>Jonathan Jian Wang, Ph.D., MBA</w:t>
            </w:r>
          </w:p>
        </w:tc>
        <w:tc>
          <w:tcPr>
            <w:tcW w:w="121" w:type="dxa"/>
            <w:tcBorders/>
            <w:vAlign w:val="bottom"/>
          </w:tcPr>
          <w:p>
            <w:pPr>
              <w:pStyle w:val="TableContents"/>
              <w:bidi w:val="0"/>
              <w:spacing w:before="0" w:after="283"/>
              <w:jc w:val="left"/>
              <w:rPr/>
            </w:pPr>
            <w:r>
              <w:rPr/>
              <w:t>  </w:t>
            </w:r>
          </w:p>
        </w:tc>
        <w:tc>
          <w:tcPr>
            <w:tcW w:w="4859" w:type="dxa"/>
            <w:tcBorders/>
          </w:tcPr>
          <w:p>
            <w:pPr>
              <w:pStyle w:val="TableContents"/>
              <w:bidi w:val="0"/>
              <w:spacing w:before="0" w:after="283"/>
              <w:jc w:val="center"/>
              <w:rPr/>
            </w:pPr>
            <w:r>
              <w:rPr/>
              <w:t>Chair of the Board</w:t>
            </w:r>
          </w:p>
        </w:tc>
        <w:tc>
          <w:tcPr>
            <w:tcW w:w="121"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283"/>
              <w:jc w:val="center"/>
              <w:rPr/>
            </w:pPr>
            <w:r>
              <w:rPr/>
              <w:t>August 5, 2026</w:t>
            </w:r>
          </w:p>
        </w:tc>
      </w:tr>
      <w:tr>
        <w:trPr>
          <w:trHeight w:val="240" w:hRule="atLeast"/>
        </w:trPr>
        <w:tc>
          <w:tcPr>
            <w:tcW w:w="3383" w:type="dxa"/>
            <w:tcBorders/>
            <w:vAlign w:val="center"/>
          </w:tcPr>
          <w:p>
            <w:pPr>
              <w:pStyle w:val="TableContents"/>
              <w:bidi w:val="0"/>
              <w:spacing w:before="0" w:after="283"/>
              <w:jc w:val="left"/>
              <w:rPr>
                <w:sz w:val="4"/>
                <w:szCs w:val="4"/>
              </w:rPr>
            </w:pPr>
            <w:r>
              <w:rPr>
                <w:sz w:val="4"/>
                <w:szCs w:val="4"/>
              </w:rPr>
            </w:r>
          </w:p>
        </w:tc>
        <w:tc>
          <w:tcPr>
            <w:tcW w:w="4980" w:type="dxa"/>
            <w:gridSpan w:val="2"/>
            <w:tcBorders/>
            <w:vAlign w:val="center"/>
          </w:tcPr>
          <w:p>
            <w:pPr>
              <w:pStyle w:val="TableContents"/>
              <w:bidi w:val="0"/>
              <w:spacing w:before="0" w:after="283"/>
              <w:jc w:val="left"/>
              <w:rPr>
                <w:sz w:val="4"/>
                <w:szCs w:val="4"/>
              </w:rPr>
            </w:pPr>
            <w:r>
              <w:rPr>
                <w:sz w:val="4"/>
                <w:szCs w:val="4"/>
              </w:rPr>
            </w:r>
          </w:p>
        </w:tc>
        <w:tc>
          <w:tcPr>
            <w:tcW w:w="1842" w:type="dxa"/>
            <w:gridSpan w:val="2"/>
            <w:tcBorders/>
            <w:vAlign w:val="center"/>
          </w:tcPr>
          <w:p>
            <w:pPr>
              <w:pStyle w:val="TableContents"/>
              <w:bidi w:val="0"/>
              <w:spacing w:before="0" w:after="283"/>
              <w:jc w:val="left"/>
              <w:rPr>
                <w:sz w:val="4"/>
                <w:szCs w:val="4"/>
              </w:rPr>
            </w:pPr>
            <w:r>
              <w:rPr>
                <w:sz w:val="4"/>
                <w:szCs w:val="4"/>
              </w:rPr>
            </w:r>
          </w:p>
        </w:tc>
      </w:tr>
      <w:tr>
        <w:trPr/>
        <w:tc>
          <w:tcPr>
            <w:tcW w:w="338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David P. Bonita</w:t>
            </w:r>
          </w:p>
          <w:p>
            <w:pPr>
              <w:pStyle w:val="TableContents"/>
              <w:bidi w:val="0"/>
              <w:spacing w:before="0" w:after="20"/>
              <w:jc w:val="center"/>
              <w:rPr>
                <w:rFonts w:ascii="Times New Roman" w:hAnsi="Times New Roman"/>
                <w:sz w:val="20"/>
              </w:rPr>
            </w:pPr>
            <w:r>
              <w:rPr>
                <w:rFonts w:ascii="Times New Roman" w:hAnsi="Times New Roman"/>
                <w:sz w:val="20"/>
              </w:rPr>
              <w:t>David P. Bonita, M.D.</w:t>
            </w:r>
          </w:p>
        </w:tc>
        <w:tc>
          <w:tcPr>
            <w:tcW w:w="121" w:type="dxa"/>
            <w:tcBorders/>
            <w:vAlign w:val="bottom"/>
          </w:tcPr>
          <w:p>
            <w:pPr>
              <w:pStyle w:val="TableContents"/>
              <w:bidi w:val="0"/>
              <w:spacing w:before="0" w:after="283"/>
              <w:jc w:val="left"/>
              <w:rPr/>
            </w:pPr>
            <w:r>
              <w:rPr/>
              <w:t>  </w:t>
            </w:r>
          </w:p>
        </w:tc>
        <w:tc>
          <w:tcPr>
            <w:tcW w:w="4859" w:type="dxa"/>
            <w:tcBorders/>
          </w:tcPr>
          <w:p>
            <w:pPr>
              <w:pStyle w:val="TableContents"/>
              <w:bidi w:val="0"/>
              <w:spacing w:before="0" w:after="283"/>
              <w:jc w:val="center"/>
              <w:rPr/>
            </w:pPr>
            <w:r>
              <w:rPr/>
              <w:t>Lead Independent Director</w:t>
            </w:r>
          </w:p>
        </w:tc>
        <w:tc>
          <w:tcPr>
            <w:tcW w:w="121"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283"/>
              <w:jc w:val="center"/>
              <w:rPr/>
            </w:pPr>
            <w:r>
              <w:rPr/>
              <w:t>August 5, 2026</w:t>
            </w:r>
          </w:p>
        </w:tc>
      </w:tr>
      <w:tr>
        <w:trPr>
          <w:trHeight w:val="240" w:hRule="atLeast"/>
        </w:trPr>
        <w:tc>
          <w:tcPr>
            <w:tcW w:w="3383" w:type="dxa"/>
            <w:tcBorders/>
            <w:vAlign w:val="center"/>
          </w:tcPr>
          <w:p>
            <w:pPr>
              <w:pStyle w:val="TableContents"/>
              <w:bidi w:val="0"/>
              <w:spacing w:before="0" w:after="283"/>
              <w:jc w:val="left"/>
              <w:rPr>
                <w:sz w:val="4"/>
                <w:szCs w:val="4"/>
              </w:rPr>
            </w:pPr>
            <w:r>
              <w:rPr>
                <w:sz w:val="4"/>
                <w:szCs w:val="4"/>
              </w:rPr>
            </w:r>
          </w:p>
        </w:tc>
        <w:tc>
          <w:tcPr>
            <w:tcW w:w="4980" w:type="dxa"/>
            <w:gridSpan w:val="2"/>
            <w:tcBorders/>
            <w:vAlign w:val="center"/>
          </w:tcPr>
          <w:p>
            <w:pPr>
              <w:pStyle w:val="TableContents"/>
              <w:bidi w:val="0"/>
              <w:spacing w:before="0" w:after="283"/>
              <w:jc w:val="left"/>
              <w:rPr>
                <w:sz w:val="4"/>
                <w:szCs w:val="4"/>
              </w:rPr>
            </w:pPr>
            <w:r>
              <w:rPr>
                <w:sz w:val="4"/>
                <w:szCs w:val="4"/>
              </w:rPr>
            </w:r>
          </w:p>
        </w:tc>
        <w:tc>
          <w:tcPr>
            <w:tcW w:w="1842" w:type="dxa"/>
            <w:gridSpan w:val="2"/>
            <w:tcBorders/>
            <w:vAlign w:val="center"/>
          </w:tcPr>
          <w:p>
            <w:pPr>
              <w:pStyle w:val="TableContents"/>
              <w:bidi w:val="0"/>
              <w:spacing w:before="0" w:after="283"/>
              <w:jc w:val="left"/>
              <w:rPr>
                <w:sz w:val="4"/>
                <w:szCs w:val="4"/>
              </w:rPr>
            </w:pPr>
            <w:r>
              <w:rPr>
                <w:sz w:val="4"/>
                <w:szCs w:val="4"/>
              </w:rPr>
            </w:r>
          </w:p>
        </w:tc>
      </w:tr>
      <w:tr>
        <w:trPr/>
        <w:tc>
          <w:tcPr>
            <w:tcW w:w="338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Joseph P. Slattery</w:t>
            </w:r>
          </w:p>
          <w:p>
            <w:pPr>
              <w:pStyle w:val="TableContents"/>
              <w:bidi w:val="0"/>
              <w:spacing w:before="0" w:after="20"/>
              <w:jc w:val="center"/>
              <w:rPr>
                <w:rFonts w:ascii="Times New Roman" w:hAnsi="Times New Roman"/>
                <w:sz w:val="20"/>
              </w:rPr>
            </w:pPr>
            <w:r>
              <w:rPr>
                <w:rFonts w:ascii="Times New Roman" w:hAnsi="Times New Roman"/>
                <w:sz w:val="20"/>
              </w:rPr>
              <w:t>Joseph P. Slattery</w:t>
            </w:r>
          </w:p>
        </w:tc>
        <w:tc>
          <w:tcPr>
            <w:tcW w:w="121" w:type="dxa"/>
            <w:tcBorders/>
            <w:vAlign w:val="bottom"/>
          </w:tcPr>
          <w:p>
            <w:pPr>
              <w:pStyle w:val="TableContents"/>
              <w:bidi w:val="0"/>
              <w:spacing w:before="0" w:after="283"/>
              <w:jc w:val="left"/>
              <w:rPr/>
            </w:pPr>
            <w:r>
              <w:rPr/>
              <w:t>  </w:t>
            </w:r>
          </w:p>
        </w:tc>
        <w:tc>
          <w:tcPr>
            <w:tcW w:w="4859" w:type="dxa"/>
            <w:tcBorders/>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283"/>
              <w:jc w:val="center"/>
              <w:rPr/>
            </w:pPr>
            <w:r>
              <w:rPr/>
              <w:t>August 5, 2026</w:t>
            </w:r>
          </w:p>
        </w:tc>
      </w:tr>
      <w:tr>
        <w:trPr>
          <w:trHeight w:val="240" w:hRule="atLeast"/>
        </w:trPr>
        <w:tc>
          <w:tcPr>
            <w:tcW w:w="3383" w:type="dxa"/>
            <w:tcBorders/>
            <w:vAlign w:val="center"/>
          </w:tcPr>
          <w:p>
            <w:pPr>
              <w:pStyle w:val="TableContents"/>
              <w:bidi w:val="0"/>
              <w:spacing w:before="0" w:after="283"/>
              <w:jc w:val="left"/>
              <w:rPr>
                <w:sz w:val="4"/>
                <w:szCs w:val="4"/>
              </w:rPr>
            </w:pPr>
            <w:r>
              <w:rPr>
                <w:sz w:val="4"/>
                <w:szCs w:val="4"/>
              </w:rPr>
            </w:r>
          </w:p>
        </w:tc>
        <w:tc>
          <w:tcPr>
            <w:tcW w:w="4980" w:type="dxa"/>
            <w:gridSpan w:val="2"/>
            <w:tcBorders/>
            <w:vAlign w:val="center"/>
          </w:tcPr>
          <w:p>
            <w:pPr>
              <w:pStyle w:val="TableContents"/>
              <w:bidi w:val="0"/>
              <w:spacing w:before="0" w:after="283"/>
              <w:jc w:val="left"/>
              <w:rPr>
                <w:sz w:val="4"/>
                <w:szCs w:val="4"/>
              </w:rPr>
            </w:pPr>
            <w:r>
              <w:rPr>
                <w:sz w:val="4"/>
                <w:szCs w:val="4"/>
              </w:rPr>
            </w:r>
          </w:p>
        </w:tc>
        <w:tc>
          <w:tcPr>
            <w:tcW w:w="1842" w:type="dxa"/>
            <w:gridSpan w:val="2"/>
            <w:tcBorders/>
            <w:vAlign w:val="center"/>
          </w:tcPr>
          <w:p>
            <w:pPr>
              <w:pStyle w:val="TableContents"/>
              <w:bidi w:val="0"/>
              <w:spacing w:before="0" w:after="283"/>
              <w:jc w:val="left"/>
              <w:rPr>
                <w:sz w:val="4"/>
                <w:szCs w:val="4"/>
              </w:rPr>
            </w:pPr>
            <w:r>
              <w:rPr>
                <w:sz w:val="4"/>
                <w:szCs w:val="4"/>
              </w:rPr>
            </w:r>
          </w:p>
        </w:tc>
      </w:tr>
      <w:tr>
        <w:trPr/>
        <w:tc>
          <w:tcPr>
            <w:tcW w:w="338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Otello Stampacchia</w:t>
            </w:r>
          </w:p>
        </w:tc>
        <w:tc>
          <w:tcPr>
            <w:tcW w:w="121" w:type="dxa"/>
            <w:vMerge w:val="restart"/>
            <w:tcBorders/>
            <w:vAlign w:val="bottom"/>
          </w:tcPr>
          <w:p>
            <w:pPr>
              <w:pStyle w:val="TableContents"/>
              <w:bidi w:val="0"/>
              <w:spacing w:before="0" w:after="283"/>
              <w:jc w:val="left"/>
              <w:rPr/>
            </w:pPr>
            <w:r>
              <w:rPr/>
              <w:t>  </w:t>
            </w:r>
          </w:p>
        </w:tc>
        <w:tc>
          <w:tcPr>
            <w:tcW w:w="4859" w:type="dxa"/>
            <w:vMerge w:val="restart"/>
            <w:tcBorders/>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283"/>
              <w:jc w:val="center"/>
              <w:rPr/>
            </w:pPr>
            <w:r>
              <w:rPr/>
              <w:t>August 5, 2026</w:t>
            </w:r>
          </w:p>
        </w:tc>
      </w:tr>
      <w:tr>
        <w:trPr/>
        <w:tc>
          <w:tcPr>
            <w:tcW w:w="3383" w:type="dxa"/>
            <w:tcBorders/>
          </w:tcPr>
          <w:p>
            <w:pPr>
              <w:pStyle w:val="TableContents"/>
              <w:bidi w:val="0"/>
              <w:spacing w:before="0" w:after="283"/>
              <w:jc w:val="center"/>
              <w:rPr/>
            </w:pPr>
            <w:r>
              <w:rPr/>
              <w:t>Otello Stampacchia, Ph.D.</w:t>
            </w:r>
          </w:p>
        </w:tc>
        <w:tc>
          <w:tcPr>
            <w:tcW w:w="121" w:type="dxa"/>
            <w:vMerge w:val="continue"/>
            <w:tcBorders/>
            <w:vAlign w:val="bottom"/>
          </w:tcPr>
          <w:p>
            <w:pPr>
              <w:pStyle w:val="Normal"/>
              <w:bidi w:val="0"/>
              <w:jc w:val="left"/>
              <w:rPr/>
            </w:pPr>
            <w:r>
              <w:rPr/>
            </w:r>
          </w:p>
        </w:tc>
        <w:tc>
          <w:tcPr>
            <w:tcW w:w="4859"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283"/>
              <w:jc w:val="left"/>
              <w:rPr>
                <w:sz w:val="4"/>
                <w:szCs w:val="4"/>
              </w:rPr>
            </w:pPr>
            <w:r>
              <w:rPr>
                <w:sz w:val="4"/>
                <w:szCs w:val="4"/>
              </w:rPr>
            </w:r>
          </w:p>
        </w:tc>
      </w:tr>
      <w:tr>
        <w:trPr>
          <w:trHeight w:val="240" w:hRule="atLeast"/>
        </w:trPr>
        <w:tc>
          <w:tcPr>
            <w:tcW w:w="3383" w:type="dxa"/>
            <w:tcBorders/>
            <w:vAlign w:val="center"/>
          </w:tcPr>
          <w:p>
            <w:pPr>
              <w:pStyle w:val="TableContents"/>
              <w:bidi w:val="0"/>
              <w:spacing w:before="0" w:after="283"/>
              <w:jc w:val="left"/>
              <w:rPr>
                <w:sz w:val="4"/>
                <w:szCs w:val="4"/>
              </w:rPr>
            </w:pPr>
            <w:r>
              <w:rPr>
                <w:sz w:val="4"/>
                <w:szCs w:val="4"/>
              </w:rPr>
            </w:r>
          </w:p>
        </w:tc>
        <w:tc>
          <w:tcPr>
            <w:tcW w:w="4980" w:type="dxa"/>
            <w:gridSpan w:val="2"/>
            <w:tcBorders/>
            <w:vAlign w:val="center"/>
          </w:tcPr>
          <w:p>
            <w:pPr>
              <w:pStyle w:val="TableContents"/>
              <w:bidi w:val="0"/>
              <w:spacing w:before="0" w:after="283"/>
              <w:jc w:val="left"/>
              <w:rPr>
                <w:sz w:val="4"/>
                <w:szCs w:val="4"/>
              </w:rPr>
            </w:pPr>
            <w:r>
              <w:rPr>
                <w:sz w:val="4"/>
                <w:szCs w:val="4"/>
              </w:rPr>
            </w:r>
          </w:p>
        </w:tc>
        <w:tc>
          <w:tcPr>
            <w:tcW w:w="1842" w:type="dxa"/>
            <w:gridSpan w:val="2"/>
            <w:tcBorders/>
            <w:vAlign w:val="center"/>
          </w:tcPr>
          <w:p>
            <w:pPr>
              <w:pStyle w:val="TableContents"/>
              <w:bidi w:val="0"/>
              <w:spacing w:before="0" w:after="283"/>
              <w:jc w:val="left"/>
              <w:rPr>
                <w:sz w:val="4"/>
                <w:szCs w:val="4"/>
              </w:rPr>
            </w:pPr>
            <w:r>
              <w:rPr>
                <w:sz w:val="4"/>
                <w:szCs w:val="4"/>
              </w:rPr>
            </w:r>
          </w:p>
        </w:tc>
      </w:tr>
      <w:tr>
        <w:trPr/>
        <w:tc>
          <w:tcPr>
            <w:tcW w:w="338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Weiguo Su</w:t>
            </w:r>
          </w:p>
        </w:tc>
        <w:tc>
          <w:tcPr>
            <w:tcW w:w="121" w:type="dxa"/>
            <w:vMerge w:val="restart"/>
            <w:tcBorders/>
            <w:vAlign w:val="bottom"/>
          </w:tcPr>
          <w:p>
            <w:pPr>
              <w:pStyle w:val="TableContents"/>
              <w:bidi w:val="0"/>
              <w:spacing w:before="0" w:after="283"/>
              <w:jc w:val="left"/>
              <w:rPr/>
            </w:pPr>
            <w:r>
              <w:rPr/>
              <w:t>  </w:t>
            </w:r>
          </w:p>
        </w:tc>
        <w:tc>
          <w:tcPr>
            <w:tcW w:w="4859" w:type="dxa"/>
            <w:vMerge w:val="restart"/>
            <w:tcBorders/>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283"/>
              <w:jc w:val="center"/>
              <w:rPr/>
            </w:pPr>
            <w:r>
              <w:rPr/>
              <w:t>August 5, 2026</w:t>
            </w:r>
          </w:p>
        </w:tc>
      </w:tr>
      <w:tr>
        <w:trPr/>
        <w:tc>
          <w:tcPr>
            <w:tcW w:w="3383" w:type="dxa"/>
            <w:tcBorders/>
          </w:tcPr>
          <w:p>
            <w:pPr>
              <w:pStyle w:val="TableContents"/>
              <w:bidi w:val="0"/>
              <w:spacing w:before="0" w:after="283"/>
              <w:jc w:val="center"/>
              <w:rPr/>
            </w:pPr>
            <w:r>
              <w:rPr/>
              <w:t>Weiguo Su, Ph.D.</w:t>
            </w:r>
          </w:p>
        </w:tc>
        <w:tc>
          <w:tcPr>
            <w:tcW w:w="121" w:type="dxa"/>
            <w:vMerge w:val="continue"/>
            <w:tcBorders/>
            <w:vAlign w:val="bottom"/>
          </w:tcPr>
          <w:p>
            <w:pPr>
              <w:pStyle w:val="Normal"/>
              <w:bidi w:val="0"/>
              <w:jc w:val="left"/>
              <w:rPr/>
            </w:pPr>
            <w:r>
              <w:rPr/>
            </w:r>
          </w:p>
        </w:tc>
        <w:tc>
          <w:tcPr>
            <w:tcW w:w="4859"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3" w:name="d18749dex51.htm"/>
      <w:bookmarkStart w:id="4" w:name="ksd18749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668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2"/>
                    <a:stretch>
                      <a:fillRect/>
                    </a:stretch>
                  </pic:blipFill>
                  <pic:spPr bwMode="auto">
                    <a:xfrm>
                      <a:off x="0" y="0"/>
                      <a:ext cx="1266825" cy="4095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Asa M. Henin </w:t>
      </w:r>
    </w:p>
    <w:p>
      <w:pPr>
        <w:pStyle w:val="TextBody"/>
        <w:bidi w:val="0"/>
        <w:spacing w:before="0" w:after="0"/>
        <w:jc w:val="left"/>
        <w:rPr>
          <w:rFonts w:ascii="Times New Roman" w:hAnsi="Times New Roman"/>
          <w:sz w:val="20"/>
        </w:rPr>
      </w:pPr>
      <w:r>
        <w:rPr>
          <w:rFonts w:ascii="Times New Roman" w:hAnsi="Times New Roman"/>
          <w:sz w:val="20"/>
        </w:rPr>
        <w:t xml:space="preserve">+1 858 550 6104 </w:t>
      </w:r>
    </w:p>
    <w:p>
      <w:pPr>
        <w:pStyle w:val="TextBody"/>
        <w:bidi w:val="0"/>
        <w:spacing w:before="0" w:after="0"/>
        <w:jc w:val="left"/>
        <w:rPr>
          <w:rFonts w:ascii="Times New Roman" w:hAnsi="Times New Roman"/>
          <w:sz w:val="20"/>
        </w:rPr>
      </w:pPr>
      <w:r>
        <w:rPr>
          <w:rFonts w:ascii="Times New Roman" w:hAnsi="Times New Roman"/>
          <w:sz w:val="20"/>
        </w:rPr>
        <w:t xml:space="preserve">ahenin@cooley.com </w:t>
      </w:r>
    </w:p>
    <w:p>
      <w:pPr>
        <w:pStyle w:val="TextBody"/>
        <w:bidi w:val="0"/>
        <w:spacing w:before="240" w:after="0"/>
        <w:jc w:val="left"/>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ImageneBio, Inc. </w:t>
      </w:r>
    </w:p>
    <w:p>
      <w:pPr>
        <w:pStyle w:val="TextBody"/>
        <w:bidi w:val="0"/>
        <w:spacing w:before="0" w:after="0"/>
        <w:jc w:val="left"/>
        <w:rPr>
          <w:rFonts w:ascii="Times New Roman" w:hAnsi="Times New Roman"/>
          <w:sz w:val="20"/>
        </w:rPr>
      </w:pPr>
      <w:r>
        <w:rPr>
          <w:rFonts w:ascii="Times New Roman" w:hAnsi="Times New Roman"/>
          <w:sz w:val="20"/>
        </w:rPr>
        <w:t xml:space="preserve">12526 High Bluff Drive, Suite 345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92130 </w:t>
      </w:r>
    </w:p>
    <w:p>
      <w:pPr>
        <w:pStyle w:val="TextBody"/>
        <w:bidi w:val="0"/>
        <w:spacing w:before="240" w:after="0"/>
        <w:jc w:val="left"/>
        <w:rPr>
          <w:rFonts w:ascii="Times New Roman" w:hAnsi="Times New Roman"/>
          <w:b/>
          <w:sz w:val="20"/>
        </w:rPr>
      </w:pPr>
      <w:r>
        <w:rPr>
          <w:rFonts w:ascii="Times New Roman" w:hAnsi="Times New Roman"/>
          <w:b/>
          <w:sz w:val="20"/>
        </w:rPr>
        <w:t xml:space="preserve">Re: Registration Statement on Form S-8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ImageneBio, Inc., a Delaware corporation (the “</w:t>
      </w:r>
      <w:r>
        <w:rPr>
          <w:rFonts w:ascii="Times New Roman" w:hAnsi="Times New Roman"/>
          <w:b/>
          <w:i/>
          <w:sz w:val="20"/>
        </w:rPr>
        <w:t>Company</w:t>
      </w:r>
      <w:r>
        <w:rPr>
          <w:rFonts w:ascii="Times New Roman" w:hAnsi="Times New Roman"/>
          <w:sz w:val="20"/>
        </w:rPr>
        <w:t>”), in connection with the filing of a Registration Statement on Form S-8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covering the offering of up to 850,000 shares (the “</w:t>
      </w:r>
      <w:r>
        <w:rPr>
          <w:rFonts w:ascii="Times New Roman" w:hAnsi="Times New Roman"/>
          <w:b/>
          <w:i/>
          <w:sz w:val="20"/>
        </w:rPr>
        <w:t>Shares</w:t>
      </w:r>
      <w:r>
        <w:rPr>
          <w:rFonts w:ascii="Times New Roman" w:hAnsi="Times New Roman"/>
          <w:sz w:val="20"/>
        </w:rPr>
        <w:t>”) of the Company’s Common Stock, par value $0.001 per share (“</w:t>
      </w:r>
      <w:r>
        <w:rPr>
          <w:rFonts w:ascii="Times New Roman" w:hAnsi="Times New Roman"/>
          <w:b/>
          <w:i/>
          <w:sz w:val="20"/>
        </w:rPr>
        <w:t>Common Stock</w:t>
      </w:r>
      <w:r>
        <w:rPr>
          <w:rFonts w:ascii="Times New Roman" w:hAnsi="Times New Roman"/>
          <w:sz w:val="20"/>
        </w:rPr>
        <w:t>”) issuable pursuant to the Company’s 2025 Equity Incentive Plan (the “</w:t>
      </w:r>
      <w:r>
        <w:rPr>
          <w:rFonts w:ascii="Times New Roman" w:hAnsi="Times New Roman"/>
          <w:b/>
          <w:i/>
          <w:sz w:val="20"/>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(a) the Registration Statement and related prospectuses, (b) the Plan,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Shares, when sold and issued in accordance with the Plan, the Registration Statement and the related prospectuses, will be validly issued, fully paid, and nonassessable (except as to shares issued pursuant to deferred payment arrangements, which will be fully paid and nonassessable when such deferred payments are made in full).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Blank]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66825"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3"/>
                    <a:stretch>
                      <a:fillRect/>
                    </a:stretch>
                  </pic:blipFill>
                  <pic:spPr bwMode="auto">
                    <a:xfrm>
                      <a:off x="0" y="0"/>
                      <a:ext cx="1266825"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letter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Cooley LLP</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Asa M. Henin</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Asa M. Henin</w:t>
            </w:r>
          </w:p>
        </w:tc>
      </w:tr>
    </w:tbl>
    <w:p>
      <w:pPr>
        <w:pStyle w:val="TextBody"/>
        <w:bidi w:val="0"/>
        <w:spacing w:before="0" w:after="0"/>
        <w:jc w:val="right"/>
        <w:rPr>
          <w:rFonts w:ascii="Times New Roman" w:hAnsi="Times New Roman"/>
          <w:b/>
          <w:sz w:val="20"/>
        </w:rPr>
      </w:pPr>
      <w:bookmarkStart w:id="5" w:name="d18749dex231.htm"/>
      <w:bookmarkStart w:id="6" w:name="ksd18749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ImageneBio, Inc. of our report dated March 10, 2026 relating to the financial statements, which appears in ImageneBio, Inc.’s Annual Report on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1 </w:t>
      </w:r>
    </w:p>
    <w:p>
      <w:pPr>
        <w:pStyle w:val="Normal"/>
        <w:bidi w:val="0"/>
        <w:spacing w:before="0" w:after="0"/>
        <w:jc w:val="left"/>
        <w:rPr>
          <w:sz w:val="4"/>
          <w:szCs w:val="4"/>
        </w:rPr>
      </w:pPr>
      <w:r>
        <w:rPr>
          <w:sz w:val="4"/>
          <w:szCs w:val="4"/>
        </w:rPr>
      </w:r>
      <w:bookmarkStart w:id="7" w:name="d18749dexfilingfees.htm"/>
      <w:bookmarkStart w:id="8" w:name="ksd18749dexfilingfees"/>
      <w:bookmarkStart w:id="9" w:name="d18749dexfilingfees.htm"/>
      <w:bookmarkStart w:id="10" w:name="ksd18749dexfilingfees"/>
      <w:bookmarkEnd w:id="9"/>
      <w:bookmarkEnd w:id="10"/>
      <w:r>
        <w:br w:type="page"/>
      </w:r>
    </w:p>
    <w:tbl>
      <w:tblPr>
        <w:tblW w:w="3563" w:type="dxa"/>
        <w:jc w:val="left"/>
        <w:tblInd w:w="0" w:type="dxa"/>
        <w:tblLayout w:type="fixed"/>
        <w:tblCellMar>
          <w:top w:w="28" w:type="dxa"/>
          <w:left w:w="28" w:type="dxa"/>
          <w:bottom w:w="28" w:type="dxa"/>
          <w:right w:w="28" w:type="dxa"/>
        </w:tblCellMar>
      </w:tblPr>
      <w:tblGrid>
        <w:gridCol w:w="3409"/>
        <w:gridCol w:w="154"/>
      </w:tblGrid>
      <w:tr>
        <w:trPr/>
        <w:tc>
          <w:tcPr>
            <w:tcW w:w="356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9"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b/>
              </w:rPr>
            </w:pPr>
            <w:r>
              <w:rPr>
                <w:b/>
              </w:rPr>
              <w:t xml:space="preserve">ImageneBio,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168"/>
        <w:gridCol w:w="1292"/>
        <w:gridCol w:w="1201"/>
        <w:gridCol w:w="1212"/>
        <w:gridCol w:w="1582"/>
        <w:gridCol w:w="1126"/>
        <w:gridCol w:w="1427"/>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68"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8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7"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168" w:type="dxa"/>
            <w:tcBorders/>
            <w:shd w:fill="E7E7E2" w:val="clear"/>
            <w:vAlign w:val="center"/>
          </w:tcPr>
          <w:p>
            <w:pPr>
              <w:pStyle w:val="TableContents"/>
              <w:bidi w:val="0"/>
              <w:spacing w:before="0" w:after="283"/>
              <w:jc w:val="left"/>
              <w:rPr/>
            </w:pPr>
            <w:r>
              <w:rPr/>
              <w:t xml:space="preserve">Amended and Restated 2025 Equity Incentive Plan, Common Stock, par value $0.001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850,000 </w:t>
            </w:r>
          </w:p>
        </w:tc>
        <w:tc>
          <w:tcPr>
            <w:tcW w:w="1212" w:type="dxa"/>
            <w:tcBorders/>
            <w:shd w:fill="E7E7E2" w:val="clear"/>
            <w:vAlign w:val="center"/>
          </w:tcPr>
          <w:p>
            <w:pPr>
              <w:pStyle w:val="TableContents"/>
              <w:bidi w:val="0"/>
              <w:spacing w:before="0" w:after="283"/>
              <w:jc w:val="right"/>
              <w:rPr/>
            </w:pPr>
            <w:r>
              <w:rPr/>
              <w:t xml:space="preserve">$ 5.57 </w:t>
            </w:r>
          </w:p>
        </w:tc>
        <w:tc>
          <w:tcPr>
            <w:tcW w:w="1582" w:type="dxa"/>
            <w:tcBorders/>
            <w:shd w:fill="E7E7E2" w:val="clear"/>
            <w:vAlign w:val="center"/>
          </w:tcPr>
          <w:p>
            <w:pPr>
              <w:pStyle w:val="TableContents"/>
              <w:bidi w:val="0"/>
              <w:spacing w:before="0" w:after="283"/>
              <w:jc w:val="right"/>
              <w:rPr/>
            </w:pPr>
            <w:r>
              <w:rPr/>
              <w:t xml:space="preserve">$ 4,734,500.00 </w:t>
            </w:r>
          </w:p>
        </w:tc>
        <w:tc>
          <w:tcPr>
            <w:tcW w:w="1126" w:type="dxa"/>
            <w:tcBorders/>
            <w:shd w:fill="E7E7E2" w:val="clear"/>
            <w:vAlign w:val="center"/>
          </w:tcPr>
          <w:p>
            <w:pPr>
              <w:pStyle w:val="TableContents"/>
              <w:bidi w:val="0"/>
              <w:spacing w:before="0" w:after="283"/>
              <w:jc w:val="right"/>
              <w:rPr/>
            </w:pPr>
            <w:r>
              <w:rPr/>
              <w:t xml:space="preserve">0.0001381 </w:t>
            </w:r>
          </w:p>
        </w:tc>
        <w:tc>
          <w:tcPr>
            <w:tcW w:w="1427" w:type="dxa"/>
            <w:tcBorders/>
            <w:shd w:fill="E7E7E2" w:val="clear"/>
            <w:vAlign w:val="center"/>
          </w:tcPr>
          <w:p>
            <w:pPr>
              <w:pStyle w:val="TableContents"/>
              <w:bidi w:val="0"/>
              <w:spacing w:before="0" w:after="283"/>
              <w:jc w:val="right"/>
              <w:rPr/>
            </w:pPr>
            <w:r>
              <w:rPr/>
              <w:t xml:space="preserve">$ 653.83 </w:t>
            </w:r>
          </w:p>
        </w:tc>
      </w:tr>
      <w:tr>
        <w:trPr/>
        <w:tc>
          <w:tcPr>
            <w:tcW w:w="4858" w:type="dxa"/>
            <w:gridSpan w:val="5"/>
            <w:tcBorders/>
            <w:vAlign w:val="center"/>
          </w:tcPr>
          <w:p>
            <w:pPr>
              <w:pStyle w:val="TableContents"/>
              <w:bidi w:val="0"/>
              <w:spacing w:before="0" w:after="0"/>
              <w:ind w:left="0" w:right="0" w:hanging="0"/>
              <w:jc w:val="right"/>
              <w:rPr/>
            </w:pPr>
            <w:r>
              <w:rPr/>
              <w:t>Total Offering Amounts:</w:t>
            </w:r>
          </w:p>
        </w:tc>
        <w:tc>
          <w:tcPr>
            <w:tcW w:w="121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0"/>
              <w:ind w:left="0" w:right="0" w:hanging="0"/>
              <w:jc w:val="right"/>
              <w:rPr/>
            </w:pPr>
            <w:bookmarkStart w:id="11" w:name="MaxAggtOfferingPrice"/>
            <w:bookmarkEnd w:id="11"/>
            <w:r>
              <w:rPr/>
              <w:t xml:space="preserve">$ 4,734,500.00 </w:t>
            </w:r>
          </w:p>
        </w:tc>
        <w:tc>
          <w:tcPr>
            <w:tcW w:w="1126" w:type="dxa"/>
            <w:tcBorders/>
            <w:vAlign w:val="center"/>
          </w:tcPr>
          <w:p>
            <w:pPr>
              <w:pStyle w:val="TableContents"/>
              <w:bidi w:val="0"/>
              <w:spacing w:before="0" w:after="283"/>
              <w:jc w:val="left"/>
              <w:rPr>
                <w:sz w:val="4"/>
                <w:szCs w:val="4"/>
              </w:rPr>
            </w:pPr>
            <w:r>
              <w:rPr>
                <w:sz w:val="4"/>
                <w:szCs w:val="4"/>
              </w:rPr>
            </w:r>
          </w:p>
        </w:tc>
        <w:tc>
          <w:tcPr>
            <w:tcW w:w="1427"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$ 653.83 </w:t>
            </w:r>
          </w:p>
        </w:tc>
      </w:tr>
      <w:tr>
        <w:trPr/>
        <w:tc>
          <w:tcPr>
            <w:tcW w:w="4858" w:type="dxa"/>
            <w:gridSpan w:val="5"/>
            <w:tcBorders/>
            <w:vAlign w:val="center"/>
          </w:tcPr>
          <w:p>
            <w:pPr>
              <w:pStyle w:val="TableContents"/>
              <w:bidi w:val="0"/>
              <w:spacing w:before="0" w:after="0"/>
              <w:ind w:left="0" w:right="0" w:hanging="0"/>
              <w:jc w:val="right"/>
              <w:rPr/>
            </w:pPr>
            <w:r>
              <w:rPr/>
              <w:t xml:space="preserve">Total Fee Offsets: </w:t>
            </w:r>
          </w:p>
        </w:tc>
        <w:tc>
          <w:tcPr>
            <w:tcW w:w="121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58" w:type="dxa"/>
            <w:gridSpan w:val="5"/>
            <w:tcBorders/>
            <w:vAlign w:val="center"/>
          </w:tcPr>
          <w:p>
            <w:pPr>
              <w:pStyle w:val="TableContents"/>
              <w:bidi w:val="0"/>
              <w:spacing w:before="0" w:after="0"/>
              <w:ind w:left="0" w:right="0" w:hanging="0"/>
              <w:jc w:val="right"/>
              <w:rPr/>
            </w:pPr>
            <w:r>
              <w:rPr/>
              <w:t xml:space="preserve">Net Fee Due: </w:t>
            </w:r>
          </w:p>
        </w:tc>
        <w:tc>
          <w:tcPr>
            <w:tcW w:w="121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0"/>
              <w:ind w:left="0" w:right="0" w:hanging="0"/>
              <w:jc w:val="right"/>
              <w:rPr/>
            </w:pPr>
            <w:bookmarkStart w:id="14" w:name="NetFeeAmt"/>
            <w:bookmarkEnd w:id="14"/>
            <w:r>
              <w:rPr/>
              <w:t xml:space="preserve">$ 653.83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 amount registered represents additional shares of ImageneBio, Inc.'s (the "Registrant's") common stock, par value $0.001 per share (the "Common Stock"), authorized for issuance under the Registrant's Amended and Restated 2025 Equity Incentive Plan (the "2025 Plan"), which additional shares were approved by the Registrant's stockholders at the Registrant's annual meeting of stockholders held on June 16, 2026. Pursuant to Rule 416(a) under the Securities Act of 1933, as amended (the "Securities Act"), the Registration Statement on Form S-8 to which this exhibit is a part (the "Registration Statement") shall also cover any additional shares of Common Stock that become issuable under the 2025 Plan by reason of any stock dividend, stock split, recapitalization or other similar transaction. The proposed maximum aggregate offering price per unit and proposed maximum aggregate offering price is estimated in accordance with Rule 457(h)(1) and Rule 457(c) of the Securities Act solely for purposes of calculating the registration fee, and are based upon the average of the high and low prices of the Common Stock on July 31, 2026, as reported on the Nasdaq Capital Market.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5579/000119312525276225/d18296ds8.htm" TargetMode="External"/><Relationship Id="rId3" Type="http://schemas.openxmlformats.org/officeDocument/2006/relationships/hyperlink" Target="http://www.sec.gov/Archives/edgar/data/1835579/000119312526099489/d107848ds8.htm" TargetMode="External"/><Relationship Id="rId4" Type="http://schemas.openxmlformats.org/officeDocument/2006/relationships/hyperlink" Target="http://www.sec.gov/Archives/edgar/data/../../../ix?doc=/Archives/edgar/data/0001835579/000119312526099434/ima-20251231.htm" TargetMode="External"/><Relationship Id="rId5" Type="http://schemas.openxmlformats.org/officeDocument/2006/relationships/hyperlink" Target="http://www.sec.gov/Archives/edgar/data/../../../ix?doc=/Archives/edgar/data/1835579/000114036126018267/edge20064682x1_def14a.htm" TargetMode="External"/><Relationship Id="rId6" Type="http://schemas.openxmlformats.org/officeDocument/2006/relationships/hyperlink" Target="http://www.sec.gov/Archives/edgar/data/../../../ix?doc=/Archives/edgar/data/0001835579/000119312526212073/ima-20260331.htm" TargetMode="External"/><Relationship Id="rId7" Type="http://schemas.openxmlformats.org/officeDocument/2006/relationships/hyperlink" Target="http://www.sec.gov/Archives/edgar/data/../../../ix?doc=/Archives/edgar/data/1835579/000119312526333920/ima-20260630.htm" TargetMode="External"/><Relationship Id="rId8" Type="http://schemas.openxmlformats.org/officeDocument/2006/relationships/hyperlink" Target="http://www.sec.gov/Archives/edgar/data/../../../ix?doc=/Archives/edgar/data/0001835579/000119312526054684/d18298d8k.htm" TargetMode="External"/><Relationship Id="rId9" Type="http://schemas.openxmlformats.org/officeDocument/2006/relationships/hyperlink" Target="http://www.sec.gov/Archives/edgar/data/../../../ix?doc=/Archives/edgar/data/0001835579/000119312526110945/d56716d8k.htm" TargetMode="External"/><Relationship Id="rId10" Type="http://schemas.openxmlformats.org/officeDocument/2006/relationships/hyperlink" Target="http://www.sec.gov/Archives/edgar/data/../../../ix?doc=/Archives/edgar/data/0001835579/000119312526151942/d143873d8k.htm" TargetMode="External"/><Relationship Id="rId11" Type="http://schemas.openxmlformats.org/officeDocument/2006/relationships/hyperlink" Target="http://www.sec.gov/Archives/edgar/data/../../../ix?doc=/Archives/edgar/data/0001835579/000119312526274139/d114862d8k.htm" TargetMode="External"/><Relationship Id="rId12" Type="http://schemas.openxmlformats.org/officeDocument/2006/relationships/hyperlink" Target="http://www.sec.gov/Archives/edgar/data/../../../ix?doc=/Archives/edgar/data/0001835579/000119312526285424/d131079d8k.htm" TargetMode="External"/><Relationship Id="rId13" Type="http://schemas.openxmlformats.org/officeDocument/2006/relationships/hyperlink" Target="http://www.sec.gov/Archives/edgar/data/../../../ix?doc=/Archives/edgar/data/0001835579/000119312526314167/d143178d8k.htm" TargetMode="External"/><Relationship Id="rId14" Type="http://schemas.openxmlformats.org/officeDocument/2006/relationships/hyperlink" Target="http://www.sec.gov/Archives/edgar/data/1835579/000119312526099434/ima-ex4_4.htm" TargetMode="External"/><Relationship Id="rId15" Type="http://schemas.openxmlformats.org/officeDocument/2006/relationships/hyperlink" Target="http://www.sec.gov/Archives/edgar/data/1835579/000119312521100292/d108142dex31.htm" TargetMode="External"/><Relationship Id="rId16" Type="http://schemas.openxmlformats.org/officeDocument/2006/relationships/hyperlink" Target="http://www.sec.gov/Archives/edgar/data/1835579/000119312525167089/d66290dex31.htm" TargetMode="External"/><Relationship Id="rId17" Type="http://schemas.openxmlformats.org/officeDocument/2006/relationships/hyperlink" Target="http://www.sec.gov/Archives/edgar/data/1835579/000119312525167089/d66290dex32.htm" TargetMode="External"/><Relationship Id="rId18" Type="http://schemas.openxmlformats.org/officeDocument/2006/relationships/hyperlink" Target="http://www.sec.gov/Archives/edgar/data/1835579/000119312521100292/d108142dex32.htm" TargetMode="External"/><Relationship Id="rId19" Type="http://schemas.openxmlformats.org/officeDocument/2006/relationships/hyperlink" Target="http://www.sec.gov/Archives/edgar/data/1835579/000119312526274139/d114862dex101.htm" TargetMode="External"/><Relationship Id="rId20" Type="http://schemas.openxmlformats.org/officeDocument/2006/relationships/hyperlink" Target="http://www.sec.gov/Archives/edgar/data/1835579/000119312525167089/d66290dex1021.htm" TargetMode="External"/><Relationship Id="rId21" Type="http://schemas.openxmlformats.org/officeDocument/2006/relationships/hyperlink" Target="http://www.sec.gov/Archives/edgar/data/1835579/000119312525167089/d66290dex1022.htm" TargetMode="External"/><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2408</Words>
  <Characters>12964</Characters>
  <CharactersWithSpaces>15431</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