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ImageneBio,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593,189.00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593,189.00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593,189.00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593,189.00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593,189.00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593,189.00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433,269.00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433,269.00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433,269.00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433,269.00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433,269.00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433,269.00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66,808.00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66,808.00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66,808.00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1,026,458.00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1,026,458.00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1,026,458.00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1,110,002.00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1,110,002.00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1,110,002.00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1,110,002.00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1,110,002.00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1,110,002.00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289"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1,110,002.00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1,110,002.00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1,110,002.00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28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ImageneBio,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79"/>
        <w:spacing w:after="0"/>
        <w:rPr>
          <w:sz w:val="20"/>
          <w:szCs w:val="20"/>
          <w:color w:val="auto"/>
        </w:rPr>
      </w:pPr>
      <w:r>
        <w:rPr>
          <w:rFonts w:ascii="Times New Roman" w:cs="Times New Roman" w:eastAsia="Times New Roman" w:hAnsi="Times New Roman"/>
          <w:sz w:val="22"/>
          <w:szCs w:val="22"/>
          <w:color w:val="auto"/>
        </w:rPr>
        <w:t>12526 High Bluff Drive, Suite 345, San Diego, California 92130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355" w:right="1440" w:bottom="289" w:gutter="0" w:footer="0" w:header="0"/>
          <w:type w:val="continuous"/>
        </w:sectPr>
      </w:pPr>
    </w:p>
    <w:bookmarkStart w:id="8" w:name="page9"/>
    <w:bookmarkEnd w:id="8"/>
    <w:p>
      <w:pPr>
        <w:ind w:left="920" w:right="200"/>
        <w:spacing w:after="0" w:line="238" w:lineRule="auto"/>
        <w:rPr>
          <w:sz w:val="20"/>
          <w:szCs w:val="20"/>
          <w:color w:val="auto"/>
        </w:rPr>
      </w:pPr>
      <w:r>
        <w:rPr>
          <w:rFonts w:ascii="Times New Roman" w:cs="Times New Roman" w:eastAsia="Times New Roman" w:hAnsi="Times New Roman"/>
          <w:sz w:val="22"/>
          <w:szCs w:val="22"/>
          <w:color w:val="auto"/>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00"/>
        <w:spacing w:after="0" w:line="253" w:lineRule="auto"/>
        <w:rPr>
          <w:sz w:val="20"/>
          <w:szCs w:val="20"/>
          <w:color w:val="auto"/>
        </w:rPr>
      </w:pPr>
      <w:r>
        <w:rPr>
          <w:rFonts w:ascii="Times New Roman" w:cs="Times New Roman" w:eastAsia="Times New Roman" w:hAnsi="Times New Roman"/>
          <w:sz w:val="21"/>
          <w:szCs w:val="21"/>
          <w:color w:val="auto"/>
        </w:rPr>
        <w:t>Biotechnology Value Fund, L.P. 44 Montgomery St., 40th Floor San Francisco, California 94104 BVF I GP LLC 44 Montgomery St., 40th Floor San Francisco, California 94104 Biotechnology Value Fund II, L.P. 44 Montgomery St.,</w:t>
      </w:r>
    </w:p>
    <w:p>
      <w:pPr>
        <w:spacing w:after="0" w:line="1" w:lineRule="exact"/>
        <w:rPr>
          <w:sz w:val="20"/>
          <w:szCs w:val="20"/>
          <w:color w:val="auto"/>
        </w:rPr>
      </w:pPr>
    </w:p>
    <w:p>
      <w:pPr>
        <w:ind w:left="920" w:right="120" w:hanging="912"/>
        <w:spacing w:after="0" w:line="211"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ectPr>
          <w:pgSz w:w="11900" w:h="16838"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March 31, 2026, (i) BVF beneficially owned 593,189 Shares, (ii) BVF2 beneficially owned 433,269 Shares and (iii) Trading Fund OS beneficially owned 66,808 Shares. BVF GP, as the general partner of BVF, may be deemed to beneficially own the 593,189 Shares beneficially owned by BVF. BVF2 GP, as the general partner of BVF2, may be deemed to beneficially own the 433,269 Shares beneficially owned by BVF2. Partners OS, as the general partner of Trading Fund OS, may be deemed to beneficially own the 66,808 Shares beneficially owned by Trading Fund OS. BVF GPH, as the sole member of each of BVF GP and BVF2 GP, may be deemed to beneficially own the 1,026,458 Shares beneficially owned in the aggregate by BVF and BVF2. Partners, as the investment manager of BVF, BVF2 and Trading Fund OS, and the sole member of Partners OS, may be deemed to beneficially own the 1,110,002 Shares beneficially owned in the aggregate by BVF, BVF2 and Trading Fund OS and held in a certain Partners managed account (the "Partners Managed Account"), including 16,736 Shares held in the Partners Managed Account. BVF Inc., as the general partner of Partners, may be deemed to beneficially own the 1,110,002 Shares beneficially owned by Partners. Mr. Lampert, as a director and officer of BVF Inc., may be deemed to beneficially own the 1,110,002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w:t>
      </w:r>
    </w:p>
    <w:p>
      <w:pPr>
        <w:sectPr>
          <w:pgSz w:w="11900" w:h="16838" w:orient="portrait"/>
          <w:cols w:equalWidth="0" w:num="1">
            <w:col w:w="11120"/>
          </w:cols>
          <w:pgMar w:left="360" w:top="111" w:right="419" w:bottom="0" w:gutter="0" w:footer="0" w:header="0"/>
          <w:type w:val="continuous"/>
        </w:sectPr>
      </w:pPr>
    </w:p>
    <w:bookmarkStart w:id="9" w:name="page10"/>
    <w:bookmarkEnd w:id="9"/>
    <w:p>
      <w:pPr>
        <w:spacing w:after="0" w:line="107" w:lineRule="exact"/>
        <w:rPr>
          <w:sz w:val="20"/>
          <w:szCs w:val="20"/>
          <w:color w:val="auto"/>
        </w:rPr>
      </w:pPr>
    </w:p>
    <w:p>
      <w:pPr>
        <w:jc w:val="both"/>
        <w:ind w:left="920" w:right="180"/>
        <w:spacing w:after="0" w:line="244" w:lineRule="auto"/>
        <w:rPr>
          <w:sz w:val="20"/>
          <w:szCs w:val="20"/>
          <w:color w:val="auto"/>
        </w:rPr>
      </w:pPr>
      <w:r>
        <w:rPr>
          <w:rFonts w:ascii="Times New Roman" w:cs="Times New Roman" w:eastAsia="Times New Roman" w:hAnsi="Times New Roman"/>
          <w:sz w:val="22"/>
          <w:szCs w:val="22"/>
          <w:color w:val="auto"/>
        </w:rPr>
        <w:t>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The following percentages are based on 11,184,995 Shares outstanding as of March 2, 2026, as disclosed in the Post-Effective Amendment No.1 to the Issuer's Registration Statement on Form S-1 filed with the Securities and Exchange Commission on April 2, 2026. As of the close of business on March 31, 2026, (i) BVF beneficially owned approximately 5.3% of the outstanding Shares, (ii) BVF2 beneficially owned approximately 3.9% of the outstanding</w:t>
      </w:r>
    </w:p>
    <w:p>
      <w:pPr>
        <w:spacing w:after="0" w:line="2" w:lineRule="exact"/>
        <w:rPr>
          <w:sz w:val="20"/>
          <w:szCs w:val="20"/>
          <w:color w:val="auto"/>
        </w:rPr>
      </w:pPr>
    </w:p>
    <w:p>
      <w:pPr>
        <w:ind w:left="920" w:right="80" w:hanging="912"/>
        <w:spacing w:after="0" w:line="232"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(iii) Trading Fund OS beneficially owned less than 1% of the outstanding Shares, (iv) BVF GP may be deemed to beneficially own approximately 5.3% of the outstanding Shares, (v) BVF2 GP may be deemed to beneficially own approximately 3.9% of the outstanding Shares, (vi) Partners OS may be deemed to beneficially own less than 1% of the outstanding Shares, (vii) BVF GPH may be deemed to beneficially own approximately 9.2% of the outstanding Shares and (viii) each of Partners, BVF Inc. and Mr. Lampert may be deemed to beneficially own approximately 9.9% of the outstanding Shares (less than 1% of the outstanding Shares are held in the Partners Managed Account). %</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45"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45"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April 5, 2021.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945" w:orient="portrait"/>
          <w:cols w:equalWidth="0" w:num="1">
            <w:col w:w="11140"/>
          </w:cols>
          <w:pgMar w:left="360" w:top="111" w:right="399" w:bottom="0" w:gutter="0" w:footer="0" w:header="0"/>
          <w:type w:val="continuous"/>
        </w:sectPr>
      </w:pPr>
    </w:p>
    <w:bookmarkStart w:id="10" w:name="page11"/>
    <w:bookmarkEnd w:id="10"/>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56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Mark N. Lampert</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2" w:right="399" w:bottom="31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2026-05-15T15:29:27Z</dcterms:created>
  <dcterms:modified xsi:type="dcterms:W3CDTF">2026-05-15T15:29:27Z</dcterms:modified>
</cp:coreProperties>
</file>