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6048d8k.htm"/>
      <w:bookmarkStart w:id="1" w:name="ksd16604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0"/>
        </w:rPr>
      </w:pPr>
      <w:r>
        <w:rPr>
          <w:rFonts w:ascii="Times New Roman" w:hAnsi="Times New Roman"/>
          <w:b/>
          <w:sz w:val="20"/>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IMAGENEBIO,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001-40287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81-1697316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12526 High Bluff Drive, Suite 345</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San Diego,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92130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(858) 345-6265</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810" w:type="dxa"/>
        <w:jc w:val="left"/>
        <w:tblInd w:w="0" w:type="dxa"/>
        <w:tblLayout w:type="fixed"/>
        <w:tblCellMar>
          <w:top w:w="0" w:type="dxa"/>
          <w:left w:w="0" w:type="dxa"/>
          <w:bottom w:w="0" w:type="dxa"/>
          <w:right w:w="0" w:type="dxa"/>
        </w:tblCellMar>
      </w:tblPr>
      <w:tblGrid>
        <w:gridCol w:w="3230"/>
        <w:gridCol w:w="60"/>
        <w:gridCol w:w="740"/>
        <w:gridCol w:w="60"/>
        <w:gridCol w:w="2720"/>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32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230"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IMA</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45" w:type="dxa"/>
        <w:jc w:val="left"/>
        <w:tblInd w:w="0" w:type="dxa"/>
        <w:tblLayout w:type="fixed"/>
        <w:tblCellMar>
          <w:top w:w="0" w:type="dxa"/>
          <w:left w:w="0" w:type="dxa"/>
          <w:bottom w:w="0" w:type="dxa"/>
          <w:right w:w="0" w:type="dxa"/>
        </w:tblCellMar>
      </w:tblPr>
      <w:tblGrid>
        <w:gridCol w:w="965"/>
        <w:gridCol w:w="3980"/>
      </w:tblGrid>
      <w:tr>
        <w:trPr/>
        <w:tc>
          <w:tcPr>
            <w:tcW w:w="965" w:type="dxa"/>
            <w:tcBorders/>
            <w:vAlign w:val="center"/>
          </w:tcPr>
          <w:p>
            <w:pPr>
              <w:pStyle w:val="TableContents"/>
              <w:bidi w:val="0"/>
              <w:spacing w:before="0" w:after="283"/>
              <w:jc w:val="left"/>
              <w:rPr>
                <w:b/>
              </w:rPr>
            </w:pPr>
            <w:r>
              <w:rPr>
                <w:b/>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5, 2026, ImageneBio, Inc. (the “Company”) announced its financial results for the quarter ended June 30, 2026. A copy of the press release is attached hereto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620"/>
        <w:gridCol w:w="120"/>
        <w:gridCol w:w="750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0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50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62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left"/>
              <w:rPr/>
            </w:pPr>
            <w:hyperlink w:anchor="d166048dex991.htm">
              <w:r>
                <w:rPr>
                  <w:rStyle w:val="InternetLink"/>
                </w:rPr>
                <w:t xml:space="preserve">Press Release dated August 5,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62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left"/>
              <w:rPr/>
            </w:pPr>
            <w:r>
              <w:rPr/>
              <w:t>Cover Page Interactive Data File (embedded with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943" w:type="dxa"/>
        <w:jc w:val="left"/>
        <w:tblInd w:w="0" w:type="dxa"/>
        <w:tblLayout w:type="fixed"/>
        <w:tblCellMar>
          <w:top w:w="0" w:type="dxa"/>
          <w:left w:w="0" w:type="dxa"/>
          <w:bottom w:w="0" w:type="dxa"/>
          <w:right w:w="0" w:type="dxa"/>
        </w:tblCellMar>
      </w:tblPr>
      <w:tblGrid>
        <w:gridCol w:w="2075"/>
        <w:gridCol w:w="60"/>
        <w:gridCol w:w="23"/>
        <w:gridCol w:w="60"/>
        <w:gridCol w:w="365"/>
        <w:gridCol w:w="60"/>
        <w:gridCol w:w="230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b/>
              </w:rPr>
            </w:pPr>
            <w:r>
              <w:rPr>
                <w:b/>
              </w:rPr>
              <w:t>IMAGENEBIO,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Kristin Yarema</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Kristin Yarema, Ph.D.</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66048dex991.htm"/>
      <w:bookmarkStart w:id="3" w:name="ksd16604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335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33500" cy="5334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ImageneBio Reports Second Quarter 2026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SAN DIEGO, Aug. 5, 2026 (GLOBE NEWSWIRE) — ImageneBio, Inc. (Nasdaq: IMA) (“Imagene” or the “Company”) today reported financial results for the quarter ended June 30, 2026, and provided a company update. </w:t>
      </w:r>
    </w:p>
    <w:p>
      <w:pPr>
        <w:pStyle w:val="TextBody"/>
        <w:bidi w:val="0"/>
        <w:spacing w:before="360" w:after="0"/>
        <w:jc w:val="left"/>
        <w:rPr>
          <w:rFonts w:ascii="Times New Roman" w:hAnsi="Times New Roman"/>
          <w:b/>
          <w:sz w:val="20"/>
        </w:rPr>
      </w:pPr>
      <w:r>
        <w:rPr>
          <w:rFonts w:ascii="Times New Roman" w:hAnsi="Times New Roman"/>
          <w:b/>
          <w:sz w:val="20"/>
        </w:rPr>
        <w:t xml:space="preserve">Company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Olevaprubart, also known as IMG-007, the potential first-in-class therapeutic targeting the OX40 pathway, is a non-T cell-depleting, ADCC-silenced, anti-OX40 receptor antagonist with an extended half-life.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Phase 2b ADAPTIVE trial of olevaprubart in moderate-to-severe atopic dermatitis continues to progress as planned under the amended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long-term extension (LTE) study has been opened for patients enrolled in ADAPTIVE and sites are actively enrolling patients into the extension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Phase 2 clinical trial of olevaprubart in alopecia areata is planned to initiate in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present two posters on olevaprubart at the 2026 European Academy of Dermatology and Venereology (EADV) Congress.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Imagene strengthened its leadership team with the appointments of Yanina Grant-Huerta as Chief Financial Officer and Matt Robbins as General Counsel.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$136.2 million in cash, cash equivalents and marketable securities as of June 30, 2026, providing anticipated funding for planned operations into the first quarter of 2028. </w:t>
            </w:r>
          </w:p>
        </w:tc>
      </w:tr>
    </w:tbl>
    <w:p>
      <w:pPr>
        <w:pStyle w:val="TextBody"/>
        <w:bidi w:val="0"/>
        <w:spacing w:before="240" w:after="0"/>
        <w:jc w:val="left"/>
        <w:rPr/>
      </w:pPr>
      <w:r>
        <w:rPr/>
        <w:t>“</w:t>
      </w:r>
      <w:r>
        <w:rPr>
          <w:rFonts w:ascii="Times New Roman" w:hAnsi="Times New Roman"/>
          <w:sz w:val="20"/>
        </w:rPr>
        <w:t xml:space="preserve">Imagene’s olevaprubart is now primed to emerge as the leading OX40 signal blockade program. With our continued progress in advanced clinical development, our conviction remains strong,” said Kristin Yarema, Ph.D., chief executive officer of Imagene. “Olevaprubart was engineered to be a genuinely differentiated medicine with the potential for strong, competitive efficacy and a favorable safety profile. This is what our Phase 2b ADAPTIVE study is designed to evaluate and we are very pleased with our progress. Atopic dermatitis and alopecia areata remain areas of significant unmet need, and, as we are following every new development in the field closely, none of it changes what we believe: that direct, T cell-targeted yet non-T cell depleting approaches like ours have the potential to provide durable, safe and strong benefit for patients. Our programs remain on track and we continue to advance as planned, including welcoming patients who have completed a year of treatment into our long-term extension study.” </w:t>
      </w:r>
    </w:p>
    <w:p>
      <w:pPr>
        <w:pStyle w:val="TextBody"/>
        <w:bidi w:val="0"/>
        <w:spacing w:before="360" w:after="0"/>
        <w:jc w:val="left"/>
        <w:rPr>
          <w:rFonts w:ascii="Times New Roman" w:hAnsi="Times New Roman"/>
          <w:b/>
          <w:sz w:val="20"/>
        </w:rPr>
      </w:pPr>
      <w:r>
        <w:rPr>
          <w:rFonts w:ascii="Times New Roman" w:hAnsi="Times New Roman"/>
          <w:b/>
          <w:sz w:val="20"/>
        </w:rPr>
        <w:t xml:space="preserve">Recent Corporate Updates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April 2026, Imagene closed a $30 million private placement with participation from both new and current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July 2026, Imagene appointed Yanina Grant-Huerta as Chief Financial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brings 20 years of financial and accounting leadership experience in the biopharma industry.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33500"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33500" cy="5334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She most recently served as Chief Accounting Officer at Atara Biotherapeutics and previously spent 14 years at Amgen Inc. in progressively senior finance and business analysis roles.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Imagene also appointed Matt Robbins as General Counsel, bringing more than 15 years of corporate, securities, and transactional experience advising public and private life sciences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Ben Porter-Brown transitioned to a consulting role at the end of July 2026, continuing to support the Company as a consulting clinical development expert and strategic advisor.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Olevaprubart Program Updates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Atopic Dermatitis:</w:t>
            </w:r>
            <w:r>
              <w:rPr>
                <w:rFonts w:ascii="Times New Roman" w:hAnsi="Times New Roman"/>
                <w:sz w:val="20"/>
              </w:rPr>
              <w:t xml:space="preserve"> The previously announced protocol amendment to the ADAPTIVE trial has been implemented, and the study continues to progress under the amended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amended protocol introduces a robust design intended to further evaluate the potential of olevaprubart in moderate-to-severe atopic dermatitis.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Topline data from the study is anticipated in the fourth quarter of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A long-term extension study has been opened for those who have completed one year in the ADAPTIVE study (</w:t>
            </w:r>
            <w:r>
              <w:rPr>
                <w:rFonts w:ascii="Times New Roman" w:hAnsi="Times New Roman"/>
                <w:sz w:val="20"/>
                <w:u w:val="single"/>
              </w:rPr>
              <w:t>NCT07734415</w:t>
            </w:r>
            <w:r>
              <w:rPr>
                <w:rFonts w:ascii="Times New Roman" w:hAnsi="Times New Roman"/>
                <w:sz w:val="20"/>
              </w:rPr>
              <w:t xml:space="preserve">) and patients are actively moving into the LTE.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Independent Data Monitoring Committee (IDMC) for the ADAPTIVE study recommended the study proceed with no changes to the protocol or monitoring on July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July 31, 2026 no cases of Kaposi sarcoma have been observed across the olevaprubart program, including in ongoing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Alopecia Areata</w:t>
            </w:r>
            <w:r>
              <w:rPr>
                <w:rFonts w:ascii="Times New Roman" w:hAnsi="Times New Roman"/>
                <w:sz w:val="20"/>
              </w:rPr>
              <w:t xml:space="preserve">: Imagene remains on track to initiate a Phase 2 study of olevaprubart in alopecia areata in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Initial data expected in 2028, leveraging the clinical operations and investigator network the Company has developed through its atopic dermatitis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Upcoming Scientific Presentations: </w:t>
            </w:r>
            <w:r>
              <w:rPr>
                <w:rFonts w:ascii="Times New Roman" w:hAnsi="Times New Roman"/>
                <w:sz w:val="20"/>
              </w:rPr>
              <w:t xml:space="preserve">Imagene will present two posters at the 2026 European Academy of Dermatology and Venereology (EADV) Congress: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Title: </w:t>
            </w:r>
            <w:r>
              <w:rPr>
                <w:rFonts w:ascii="Times New Roman" w:hAnsi="Times New Roman"/>
                <w:sz w:val="20"/>
              </w:rPr>
              <w:t xml:space="preserve">IMG-007, a non-depleting OX40 antagonist: Optimizing Peak Loading Concentration and Exposure Range to Unlock the Full Potential of OX40-OX40L Pathway Targeting in Immune Mediated Diseases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Poster Number:</w:t>
            </w:r>
            <w:r>
              <w:rPr>
                <w:rFonts w:ascii="Times New Roman" w:hAnsi="Times New Roman"/>
                <w:sz w:val="20"/>
              </w:rPr>
              <w:t xml:space="preserve"> P1683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Abstract ID:</w:t>
            </w:r>
            <w:r>
              <w:rPr>
                <w:rFonts w:ascii="Times New Roman" w:hAnsi="Times New Roman"/>
                <w:sz w:val="20"/>
              </w:rPr>
              <w:t xml:space="preserve"> AS-4099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Title: </w:t>
            </w:r>
            <w:r>
              <w:rPr>
                <w:rFonts w:ascii="Times New Roman" w:hAnsi="Times New Roman"/>
                <w:sz w:val="20"/>
              </w:rPr>
              <w:t xml:space="preserve">IMG-007, a non-depleting OX40 mAb, produces durable shift in TCR repertoire and T cell function: Early biomarker insights from a Phase 1b/2a trial in immune-mediated alopecias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Poster Number:</w:t>
            </w:r>
            <w:r>
              <w:rPr>
                <w:rFonts w:ascii="Times New Roman" w:hAnsi="Times New Roman"/>
                <w:sz w:val="20"/>
              </w:rPr>
              <w:t xml:space="preserve"> P2203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Abstract ID:</w:t>
            </w:r>
            <w:r>
              <w:rPr>
                <w:rFonts w:ascii="Times New Roman" w:hAnsi="Times New Roman"/>
                <w:sz w:val="20"/>
              </w:rPr>
              <w:t xml:space="preserve"> AS-3275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33500" cy="533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33500" cy="533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Second Quarter 2026 Financial Highlights </w:t>
      </w:r>
    </w:p>
    <w:p>
      <w:pPr>
        <w:pStyle w:val="TextBody"/>
        <w:bidi w:val="0"/>
        <w:spacing w:before="120" w:after="0"/>
        <w:jc w:val="left"/>
        <w:rPr>
          <w:rFonts w:ascii="Times New Roman" w:hAnsi="Times New Roman"/>
          <w:sz w:val="20"/>
        </w:rPr>
      </w:pPr>
      <w:r>
        <w:rPr>
          <w:rFonts w:ascii="Times New Roman" w:hAnsi="Times New Roman"/>
          <w:b/>
          <w:sz w:val="20"/>
        </w:rPr>
        <w:t>Cash Position:</w:t>
      </w:r>
      <w:r>
        <w:rPr>
          <w:rFonts w:ascii="Times New Roman" w:hAnsi="Times New Roman"/>
          <w:sz w:val="20"/>
        </w:rPr>
        <w:t xml:space="preserve"> Following a $30 million PIPE financing completed in April 2026, the Company ended June 30, 2026 with $136.2 million in cash, cash equivalents and marketable securities. The Company expects that such resources will be sufficient to fund planned operations into the first quarter of 2028. </w:t>
      </w:r>
    </w:p>
    <w:p>
      <w:pPr>
        <w:pStyle w:val="TextBody"/>
        <w:bidi w:val="0"/>
        <w:spacing w:before="240" w:after="0"/>
        <w:jc w:val="left"/>
        <w:rPr>
          <w:rFonts w:ascii="Times New Roman" w:hAnsi="Times New Roman"/>
          <w:sz w:val="20"/>
        </w:rPr>
      </w:pPr>
      <w:r>
        <w:rPr>
          <w:rFonts w:ascii="Times New Roman" w:hAnsi="Times New Roman"/>
          <w:b/>
          <w:sz w:val="20"/>
        </w:rPr>
        <w:t>Research and Development (R&amp;D) Expenses:</w:t>
      </w:r>
      <w:r>
        <w:rPr>
          <w:rFonts w:ascii="Times New Roman" w:hAnsi="Times New Roman"/>
          <w:sz w:val="20"/>
        </w:rPr>
        <w:t xml:space="preserve"> R&amp;D expenses were $6.7 million for the three months ended June 30, 2026, compared to $5.7 million for the same period in 2025. The Company continues to invest in clinical trial and personnel-related expenses associated with its primary development program. </w:t>
      </w:r>
    </w:p>
    <w:p>
      <w:pPr>
        <w:pStyle w:val="TextBody"/>
        <w:bidi w:val="0"/>
        <w:spacing w:before="240" w:after="0"/>
        <w:jc w:val="left"/>
        <w:rPr>
          <w:rFonts w:ascii="Times New Roman" w:hAnsi="Times New Roman"/>
          <w:sz w:val="20"/>
        </w:rPr>
      </w:pPr>
      <w:r>
        <w:rPr>
          <w:rFonts w:ascii="Times New Roman" w:hAnsi="Times New Roman"/>
          <w:b/>
          <w:sz w:val="20"/>
        </w:rPr>
        <w:t>General and Administrative (G&amp;A) Expenses:</w:t>
      </w:r>
      <w:r>
        <w:rPr>
          <w:rFonts w:ascii="Times New Roman" w:hAnsi="Times New Roman"/>
          <w:sz w:val="20"/>
        </w:rPr>
        <w:t xml:space="preserve"> G&amp;A expenses were $5.1 million for the three months ended June 30, 2026, compared to $1.7 million for the same period in 2025. </w:t>
      </w:r>
    </w:p>
    <w:p>
      <w:pPr>
        <w:pStyle w:val="TextBody"/>
        <w:bidi w:val="0"/>
        <w:spacing w:before="240" w:after="0"/>
        <w:jc w:val="left"/>
        <w:rPr>
          <w:rFonts w:ascii="Times New Roman" w:hAnsi="Times New Roman"/>
          <w:sz w:val="20"/>
        </w:rPr>
      </w:pPr>
      <w:r>
        <w:rPr>
          <w:rFonts w:ascii="Times New Roman" w:hAnsi="Times New Roman"/>
          <w:b/>
          <w:sz w:val="20"/>
        </w:rPr>
        <w:t>Net Loss:</w:t>
      </w:r>
      <w:r>
        <w:rPr>
          <w:rFonts w:ascii="Times New Roman" w:hAnsi="Times New Roman"/>
          <w:sz w:val="20"/>
        </w:rPr>
        <w:t xml:space="preserve"> Net loss was $10.2 million, or $0.63 loss per share, for the three months ended June 30, 2026, compared to a net loss of $10.7 million, or $4.46 per share, for the same period in 2025. </w:t>
      </w:r>
    </w:p>
    <w:p>
      <w:pPr>
        <w:pStyle w:val="TextBody"/>
        <w:bidi w:val="0"/>
        <w:spacing w:before="360" w:after="0"/>
        <w:jc w:val="left"/>
        <w:rPr>
          <w:rFonts w:ascii="Times New Roman" w:hAnsi="Times New Roman"/>
          <w:b/>
          <w:sz w:val="20"/>
        </w:rPr>
      </w:pPr>
      <w:r>
        <w:rPr>
          <w:rFonts w:ascii="Times New Roman" w:hAnsi="Times New Roman"/>
          <w:b/>
          <w:sz w:val="20"/>
        </w:rPr>
        <w:t xml:space="preserve">About Olevaprubart (formerly IMG-007) </w:t>
      </w:r>
    </w:p>
    <w:p>
      <w:pPr>
        <w:pStyle w:val="TextBody"/>
        <w:bidi w:val="0"/>
        <w:spacing w:before="120" w:after="0"/>
        <w:jc w:val="left"/>
        <w:rPr>
          <w:rFonts w:ascii="Times New Roman" w:hAnsi="Times New Roman"/>
          <w:sz w:val="20"/>
        </w:rPr>
      </w:pPr>
      <w:r>
        <w:rPr>
          <w:rFonts w:ascii="Times New Roman" w:hAnsi="Times New Roman"/>
          <w:sz w:val="20"/>
        </w:rPr>
        <w:t xml:space="preserve">Olevaprubart (formerly IMG-007) is an investigational, non-T cell-depleting monoclonal antibody targeting OX40, a receptor protein primarily found on activated human T cells. When OX40 binds its ligand OX40L in human tissue, the signal generated plays a key role in the activation, expansion, and survival of many subtypes of T cells. Targeted inhibition of OX40 is being studied in the clinic across a range of autoimmune, inflammatory and immunological conditions where aberrant signaling of one or more T cell subtypes is believed to drive disease. Olevaprubart has been engineered to include a silenced antibody-dependent cell-mediated cytotoxicity function demonstrated to avoid T cell depletion or killing and intended to minimize safety risk. This technology also resulted in an approximately 5-week half-life, prolonging therapeutic activity with the aim of maximizing time between doses for a patient. </w:t>
      </w:r>
    </w:p>
    <w:p>
      <w:pPr>
        <w:pStyle w:val="TextBody"/>
        <w:bidi w:val="0"/>
        <w:spacing w:before="360" w:after="0"/>
        <w:jc w:val="left"/>
        <w:rPr>
          <w:rFonts w:ascii="Times New Roman" w:hAnsi="Times New Roman"/>
          <w:b/>
          <w:sz w:val="20"/>
        </w:rPr>
      </w:pPr>
      <w:r>
        <w:rPr>
          <w:rFonts w:ascii="Times New Roman" w:hAnsi="Times New Roman"/>
          <w:b/>
          <w:sz w:val="20"/>
        </w:rPr>
        <w:t xml:space="preserve">About ImageneBio, Inc. </w:t>
      </w:r>
    </w:p>
    <w:p>
      <w:pPr>
        <w:pStyle w:val="TextBody"/>
        <w:bidi w:val="0"/>
        <w:spacing w:before="120" w:after="0"/>
        <w:jc w:val="left"/>
        <w:rPr>
          <w:rFonts w:ascii="Times New Roman" w:hAnsi="Times New Roman"/>
          <w:sz w:val="20"/>
        </w:rPr>
      </w:pPr>
      <w:r>
        <w:rPr>
          <w:rFonts w:ascii="Times New Roman" w:hAnsi="Times New Roman"/>
          <w:sz w:val="20"/>
        </w:rPr>
        <w:t xml:space="preserve">Imagene is a clinical-stage biotechnology company dedicated to developing therapeutics for patients with immunological, autoimmune and inflammatory diseases with differentiated clinical profiles. The Company’s program, olevaprubart (formerly IMG-007), is a receptor targeting, nondepleting anti-OX40 monoclonal antibody with multiple differentiating features. Imagene has completed Phase 1b/2a clinical trials of olevaprubart in both atopic dermatitis and alopecia areata and is currently conducting a Phase 2b clinical trial of olevaprubart in patients with moderate-to-severe atopic dermatitis. For more information, please visit www.imagenebio.com.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33500" cy="533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33500" cy="533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“safe harbor” provisions of the Private Securities Litigation Reform Act of 1995, including, without limitation, statements regarding: the expected timing, progress and results of the Company’s ongoing Phase 2b ADAPTIVE trial; the anticipated benefits and potential impact of the amended ADAPTIVE trial protocol; the expected timing of initiation of the Company’s Phase 2 alopecia areata trial and the timing of initial clinical data; the therapeutic potential, safety profile and clinical differentiation of olevaprubart; the Company’s plans to advance the development of olevaprubart across multiple inflammatory and autoimmune indications; the Company’s planned scientific presentations and anticipated dissemination of clinical data; the Company’s expected cash resources, capital requirements and financing plans; and other statements regarding management’s intentions, plans, beliefs, expectations or forecasts for the future. Words such as “will,” “can,” “expect,” “may,” “plan,” “potential,” “goal,” or other words that convey uncertainty of future events or outcomes are used to identify these forward-looking statements. These statements are subject to a number of risks, uncertainties and assumptions, including, but not limited to: risks associated with the nonclinical and clinical development and regulatory approval of olevaprubart, including potential delays in the completion of clinical trials and potential safety and other complications thereof; the timing of the availability of data from the Company’s clinical trials; the risk that competitor data may materially and adversely impact the Company, its business, and its future prospects; the clinical utility, potential differentiation and/or benefits and market acceptance of olevaprubart; the requirement for additional capital to continue to advance the olevaprubart program, which may not be available on favorable terms or at all; the Company’s ability to attract, hire, and retain skilled executive officers and employees; the Company’s ability to protect its intellectual property and proprietary technologies; the Company’s reliance on third parties, contract manufacturers, and contract research organizations; the possibility that the Company may be adversely affected by other economic, political, business, or competitive factors; and risks associated with changes in applicable laws or regulations or government resources and policies. Actual results and the timing of events could differ materially from those anticipated in such forward-looking statements as a result of these risks and uncertainties. These and other risks and uncertainties are more fully described in the Company’s filings with the Securities and Exchange Commission (the SEC), including the risks set forth under the heading “Risk Factors” in our Annual Report on Form 10-K for the year ended December 31, 2025, and our subsequent Quarterly Reports on Form 10-Q, filed with the SEC, and in our other filings with the SEC. You should not place undue reliance on these forward-looking statements, which are made only as of the date hereof. The Company undertakes no obligation to update such statements to reflect events that occur or circumstances that exist after the date on which they were made, except as required by law.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33500" cy="533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33500" cy="533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IMAGENEBIO,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28"/>
        <w:gridCol w:w="306"/>
        <w:gridCol w:w="140"/>
        <w:gridCol w:w="879"/>
        <w:gridCol w:w="155"/>
        <w:gridCol w:w="260"/>
        <w:gridCol w:w="195"/>
        <w:gridCol w:w="1284"/>
        <w:gridCol w:w="158"/>
      </w:tblGrid>
      <w:tr>
        <w:trPr/>
        <w:tc>
          <w:tcPr>
            <w:tcW w:w="6828"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8"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8" w:type="dxa"/>
            <w:tcBorders/>
            <w:vAlign w:val="bottom"/>
          </w:tcPr>
          <w:p>
            <w:pPr>
              <w:pStyle w:val="TableContents"/>
              <w:bidi w:val="0"/>
              <w:spacing w:before="0" w:after="283"/>
              <w:jc w:val="left"/>
              <w:rPr/>
            </w:pPr>
            <w:r>
              <w:rPr/>
              <w:t> </w:t>
            </w:r>
          </w:p>
        </w:tc>
      </w:tr>
      <w:tr>
        <w:trPr/>
        <w:tc>
          <w:tcPr>
            <w:tcW w:w="68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8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2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8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94,677</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84" w:type="dxa"/>
            <w:tcBorders/>
            <w:shd w:fill="CCEEFF" w:val="clear"/>
            <w:vAlign w:val="bottom"/>
          </w:tcPr>
          <w:p>
            <w:pPr>
              <w:pStyle w:val="TableContents"/>
              <w:bidi w:val="0"/>
              <w:spacing w:before="0" w:after="283"/>
              <w:jc w:val="right"/>
              <w:rPr/>
            </w:pPr>
            <w:r>
              <w:rPr/>
              <w:t>94,532</w:t>
            </w:r>
          </w:p>
        </w:tc>
        <w:tc>
          <w:tcPr>
            <w:tcW w:w="158" w:type="dxa"/>
            <w:tcBorders/>
            <w:shd w:fill="CCEEFF" w:val="clear"/>
            <w:vAlign w:val="bottom"/>
          </w:tcPr>
          <w:p>
            <w:pPr>
              <w:pStyle w:val="TableContents"/>
              <w:bidi w:val="0"/>
              <w:spacing w:before="0" w:after="283"/>
              <w:jc w:val="left"/>
              <w:rPr/>
            </w:pPr>
            <w:r>
              <w:rPr/>
              <w:t> </w:t>
            </w:r>
          </w:p>
        </w:tc>
      </w:tr>
      <w:tr>
        <w:trPr/>
        <w:tc>
          <w:tcPr>
            <w:tcW w:w="6828"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41,476</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40,817</w:t>
            </w:r>
          </w:p>
        </w:tc>
        <w:tc>
          <w:tcPr>
            <w:tcW w:w="158" w:type="dxa"/>
            <w:tcBorders/>
            <w:vAlign w:val="bottom"/>
          </w:tcPr>
          <w:p>
            <w:pPr>
              <w:pStyle w:val="TableContents"/>
              <w:bidi w:val="0"/>
              <w:spacing w:before="0" w:after="283"/>
              <w:jc w:val="left"/>
              <w:rPr/>
            </w:pPr>
            <w:r>
              <w:rPr/>
              <w:t> </w:t>
            </w:r>
          </w:p>
        </w:tc>
      </w:tr>
      <w:tr>
        <w:trPr/>
        <w:tc>
          <w:tcPr>
            <w:tcW w:w="6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4,959</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4,939</w:t>
            </w:r>
          </w:p>
        </w:tc>
        <w:tc>
          <w:tcPr>
            <w:tcW w:w="158" w:type="dxa"/>
            <w:tcBorders/>
            <w:shd w:fill="CCEEFF" w:val="clear"/>
            <w:vAlign w:val="bottom"/>
          </w:tcPr>
          <w:p>
            <w:pPr>
              <w:pStyle w:val="TableContents"/>
              <w:bidi w:val="0"/>
              <w:spacing w:before="0" w:after="283"/>
              <w:jc w:val="left"/>
              <w:rPr/>
            </w:pPr>
            <w:r>
              <w:rPr/>
              <w:t> </w:t>
            </w:r>
          </w:p>
        </w:tc>
      </w:tr>
      <w:tr>
        <w:trPr/>
        <w:tc>
          <w:tcPr>
            <w:tcW w:w="682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2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141,112</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140,288</w:t>
            </w:r>
          </w:p>
        </w:tc>
        <w:tc>
          <w:tcPr>
            <w:tcW w:w="158" w:type="dxa"/>
            <w:tcBorders/>
            <w:vAlign w:val="bottom"/>
          </w:tcPr>
          <w:p>
            <w:pPr>
              <w:pStyle w:val="TableContents"/>
              <w:bidi w:val="0"/>
              <w:spacing w:before="0" w:after="283"/>
              <w:jc w:val="left"/>
              <w:rPr/>
            </w:pPr>
            <w:r>
              <w:rPr/>
              <w:t> </w:t>
            </w:r>
          </w:p>
        </w:tc>
      </w:tr>
      <w:tr>
        <w:trPr/>
        <w:tc>
          <w:tcPr>
            <w:tcW w:w="6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net</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521</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790</w:t>
            </w:r>
          </w:p>
        </w:tc>
        <w:tc>
          <w:tcPr>
            <w:tcW w:w="158" w:type="dxa"/>
            <w:tcBorders/>
            <w:shd w:fill="CCEEFF" w:val="clear"/>
            <w:vAlign w:val="bottom"/>
          </w:tcPr>
          <w:p>
            <w:pPr>
              <w:pStyle w:val="TableContents"/>
              <w:bidi w:val="0"/>
              <w:spacing w:before="0" w:after="283"/>
              <w:jc w:val="left"/>
              <w:rPr/>
            </w:pPr>
            <w:r>
              <w:rPr/>
              <w:t> </w:t>
            </w:r>
          </w:p>
        </w:tc>
      </w:tr>
      <w:tr>
        <w:trPr/>
        <w:tc>
          <w:tcPr>
            <w:tcW w:w="6828" w:type="dxa"/>
            <w:tcBorders/>
          </w:tcPr>
          <w:p>
            <w:pPr>
              <w:pStyle w:val="TableContents"/>
              <w:bidi w:val="0"/>
              <w:spacing w:before="0" w:after="0"/>
              <w:jc w:val="left"/>
              <w:rPr>
                <w:rFonts w:ascii="Times New Roman" w:hAnsi="Times New Roman"/>
                <w:sz w:val="20"/>
              </w:rPr>
            </w:pPr>
            <w:r>
              <w:rPr>
                <w:rFonts w:ascii="Times New Roman" w:hAnsi="Times New Roman"/>
                <w:sz w:val="20"/>
              </w:rPr>
              <w:t>Deposits and other non-current assets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7,852</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4,878</w:t>
            </w:r>
          </w:p>
        </w:tc>
        <w:tc>
          <w:tcPr>
            <w:tcW w:w="158" w:type="dxa"/>
            <w:tcBorders/>
            <w:vAlign w:val="bottom"/>
          </w:tcPr>
          <w:p>
            <w:pPr>
              <w:pStyle w:val="TableContents"/>
              <w:bidi w:val="0"/>
              <w:spacing w:before="0" w:after="283"/>
              <w:jc w:val="left"/>
              <w:rPr/>
            </w:pPr>
            <w:r>
              <w:rPr/>
              <w:t> </w:t>
            </w:r>
          </w:p>
        </w:tc>
      </w:tr>
      <w:tr>
        <w:trPr/>
        <w:tc>
          <w:tcPr>
            <w:tcW w:w="6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Promissory note receivable from related party</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2,560</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7,020</w:t>
            </w:r>
          </w:p>
        </w:tc>
        <w:tc>
          <w:tcPr>
            <w:tcW w:w="158" w:type="dxa"/>
            <w:tcBorders/>
            <w:shd w:fill="CCEEFF" w:val="clear"/>
            <w:vAlign w:val="bottom"/>
          </w:tcPr>
          <w:p>
            <w:pPr>
              <w:pStyle w:val="TableContents"/>
              <w:bidi w:val="0"/>
              <w:spacing w:before="0" w:after="283"/>
              <w:jc w:val="left"/>
              <w:rPr/>
            </w:pPr>
            <w:r>
              <w:rPr/>
              <w:t> </w:t>
            </w:r>
          </w:p>
        </w:tc>
      </w:tr>
      <w:tr>
        <w:trPr/>
        <w:tc>
          <w:tcPr>
            <w:tcW w:w="682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28"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152,045</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84" w:type="dxa"/>
            <w:tcBorders/>
            <w:vAlign w:val="bottom"/>
          </w:tcPr>
          <w:p>
            <w:pPr>
              <w:pStyle w:val="TableContents"/>
              <w:bidi w:val="0"/>
              <w:spacing w:before="0" w:after="283"/>
              <w:jc w:val="right"/>
              <w:rPr/>
            </w:pPr>
            <w:r>
              <w:rPr/>
              <w:t>152,976</w:t>
            </w:r>
          </w:p>
        </w:tc>
        <w:tc>
          <w:tcPr>
            <w:tcW w:w="158" w:type="dxa"/>
            <w:tcBorders/>
            <w:vAlign w:val="bottom"/>
          </w:tcPr>
          <w:p>
            <w:pPr>
              <w:pStyle w:val="TableContents"/>
              <w:bidi w:val="0"/>
              <w:spacing w:before="0" w:after="283"/>
              <w:jc w:val="left"/>
              <w:rPr/>
            </w:pPr>
            <w:r>
              <w:rPr/>
              <w:t> </w:t>
            </w:r>
          </w:p>
        </w:tc>
      </w:tr>
      <w:tr>
        <w:trPr/>
        <w:tc>
          <w:tcPr>
            <w:tcW w:w="682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8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28"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8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977</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84" w:type="dxa"/>
            <w:tcBorders/>
            <w:shd w:fill="CCEEFF" w:val="clear"/>
            <w:vAlign w:val="bottom"/>
          </w:tcPr>
          <w:p>
            <w:pPr>
              <w:pStyle w:val="TableContents"/>
              <w:bidi w:val="0"/>
              <w:spacing w:before="0" w:after="283"/>
              <w:jc w:val="right"/>
              <w:rPr/>
            </w:pPr>
            <w:r>
              <w:rPr/>
              <w:t>1,439</w:t>
            </w:r>
          </w:p>
        </w:tc>
        <w:tc>
          <w:tcPr>
            <w:tcW w:w="158" w:type="dxa"/>
            <w:tcBorders/>
            <w:shd w:fill="CCEEFF" w:val="clear"/>
            <w:vAlign w:val="bottom"/>
          </w:tcPr>
          <w:p>
            <w:pPr>
              <w:pStyle w:val="TableContents"/>
              <w:bidi w:val="0"/>
              <w:spacing w:before="0" w:after="283"/>
              <w:jc w:val="left"/>
              <w:rPr/>
            </w:pPr>
            <w:r>
              <w:rPr/>
              <w:t> </w:t>
            </w:r>
          </w:p>
        </w:tc>
      </w:tr>
      <w:tr>
        <w:trPr/>
        <w:tc>
          <w:tcPr>
            <w:tcW w:w="6828"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3,684</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7,533</w:t>
            </w:r>
          </w:p>
        </w:tc>
        <w:tc>
          <w:tcPr>
            <w:tcW w:w="158" w:type="dxa"/>
            <w:tcBorders/>
            <w:vAlign w:val="bottom"/>
          </w:tcPr>
          <w:p>
            <w:pPr>
              <w:pStyle w:val="TableContents"/>
              <w:bidi w:val="0"/>
              <w:spacing w:before="0" w:after="283"/>
              <w:jc w:val="left"/>
              <w:rPr/>
            </w:pPr>
            <w:r>
              <w:rPr/>
              <w:t> </w:t>
            </w:r>
          </w:p>
        </w:tc>
      </w:tr>
      <w:tr>
        <w:trPr/>
        <w:tc>
          <w:tcPr>
            <w:tcW w:w="6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1,912</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2,262</w:t>
            </w:r>
          </w:p>
        </w:tc>
        <w:tc>
          <w:tcPr>
            <w:tcW w:w="158" w:type="dxa"/>
            <w:tcBorders/>
            <w:shd w:fill="CCEEFF" w:val="clear"/>
            <w:vAlign w:val="bottom"/>
          </w:tcPr>
          <w:p>
            <w:pPr>
              <w:pStyle w:val="TableContents"/>
              <w:bidi w:val="0"/>
              <w:spacing w:before="0" w:after="283"/>
              <w:jc w:val="left"/>
              <w:rPr/>
            </w:pPr>
            <w:r>
              <w:rPr/>
              <w:t> </w:t>
            </w:r>
          </w:p>
        </w:tc>
      </w:tr>
      <w:tr>
        <w:trPr/>
        <w:tc>
          <w:tcPr>
            <w:tcW w:w="682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2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6,573</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11,234</w:t>
            </w:r>
          </w:p>
        </w:tc>
        <w:tc>
          <w:tcPr>
            <w:tcW w:w="158" w:type="dxa"/>
            <w:tcBorders/>
            <w:vAlign w:val="bottom"/>
          </w:tcPr>
          <w:p>
            <w:pPr>
              <w:pStyle w:val="TableContents"/>
              <w:bidi w:val="0"/>
              <w:spacing w:before="0" w:after="283"/>
              <w:jc w:val="left"/>
              <w:rPr/>
            </w:pPr>
            <w:r>
              <w:rPr/>
              <w:t> </w:t>
            </w:r>
          </w:p>
        </w:tc>
      </w:tr>
      <w:tr>
        <w:trPr/>
        <w:tc>
          <w:tcPr>
            <w:tcW w:w="6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713</w:t>
            </w:r>
          </w:p>
        </w:tc>
        <w:tc>
          <w:tcPr>
            <w:tcW w:w="158" w:type="dxa"/>
            <w:tcBorders/>
            <w:shd w:fill="CCEEFF" w:val="clear"/>
            <w:vAlign w:val="bottom"/>
          </w:tcPr>
          <w:p>
            <w:pPr>
              <w:pStyle w:val="TableContents"/>
              <w:bidi w:val="0"/>
              <w:spacing w:before="0" w:after="283"/>
              <w:jc w:val="left"/>
              <w:rPr/>
            </w:pPr>
            <w:r>
              <w:rPr/>
              <w:t> </w:t>
            </w:r>
          </w:p>
        </w:tc>
      </w:tr>
      <w:tr>
        <w:trPr/>
        <w:tc>
          <w:tcPr>
            <w:tcW w:w="682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838</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870</w:t>
            </w:r>
          </w:p>
        </w:tc>
        <w:tc>
          <w:tcPr>
            <w:tcW w:w="158" w:type="dxa"/>
            <w:tcBorders/>
            <w:vAlign w:val="bottom"/>
          </w:tcPr>
          <w:p>
            <w:pPr>
              <w:pStyle w:val="TableContents"/>
              <w:bidi w:val="0"/>
              <w:spacing w:before="0" w:after="283"/>
              <w:jc w:val="left"/>
              <w:rPr/>
            </w:pPr>
            <w:r>
              <w:rPr/>
              <w:t> </w:t>
            </w:r>
          </w:p>
        </w:tc>
      </w:tr>
      <w:tr>
        <w:trPr/>
        <w:tc>
          <w:tcPr>
            <w:tcW w:w="6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CVR liability due to related party</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2,560</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7,020</w:t>
            </w:r>
          </w:p>
        </w:tc>
        <w:tc>
          <w:tcPr>
            <w:tcW w:w="158" w:type="dxa"/>
            <w:tcBorders/>
            <w:shd w:fill="CCEEFF" w:val="clear"/>
            <w:vAlign w:val="bottom"/>
          </w:tcPr>
          <w:p>
            <w:pPr>
              <w:pStyle w:val="TableContents"/>
              <w:bidi w:val="0"/>
              <w:spacing w:before="0" w:after="283"/>
              <w:jc w:val="left"/>
              <w:rPr/>
            </w:pPr>
            <w:r>
              <w:rPr/>
              <w:t> </w:t>
            </w:r>
          </w:p>
        </w:tc>
      </w:tr>
      <w:tr>
        <w:trPr/>
        <w:tc>
          <w:tcPr>
            <w:tcW w:w="682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2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9,971</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19,837</w:t>
            </w:r>
          </w:p>
        </w:tc>
        <w:tc>
          <w:tcPr>
            <w:tcW w:w="158" w:type="dxa"/>
            <w:tcBorders/>
            <w:vAlign w:val="bottom"/>
          </w:tcPr>
          <w:p>
            <w:pPr>
              <w:pStyle w:val="TableContents"/>
              <w:bidi w:val="0"/>
              <w:spacing w:before="0" w:after="283"/>
              <w:jc w:val="left"/>
              <w:rPr/>
            </w:pPr>
            <w:r>
              <w:rPr/>
              <w:t> </w:t>
            </w:r>
          </w:p>
        </w:tc>
      </w:tr>
      <w:tr>
        <w:trPr/>
        <w:tc>
          <w:tcPr>
            <w:tcW w:w="6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10)</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8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28"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8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$0.001 par value, 10,000,000 shares authorized; no shares issued and outstanding as of June 30, 2026 and December 31, 2025</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828" w:type="dxa"/>
            <w:tcBorders/>
          </w:tcPr>
          <w:p>
            <w:pPr>
              <w:pStyle w:val="TableContents"/>
              <w:bidi w:val="0"/>
              <w:spacing w:before="0" w:after="0"/>
              <w:jc w:val="left"/>
              <w:rPr>
                <w:rFonts w:ascii="Times New Roman" w:hAnsi="Times New Roman"/>
                <w:sz w:val="20"/>
              </w:rPr>
            </w:pPr>
            <w:r>
              <w:rPr>
                <w:rFonts w:ascii="Times New Roman" w:hAnsi="Times New Roman"/>
                <w:sz w:val="20"/>
              </w:rPr>
              <w:t>Voting Common Stock, $0.001 par value, 142,000,000 shares authorized; 11,279,130 and 10,650,925 shares issued and outstanding as of June 30, 2026 and December 31, 2025, respectively</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6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Non-Voting Common Stock, $0.001 par value, 8,000,000 shares authorized; no shares issued and outstanding as of June 30, 2026 and 530,714 shares issued and outstanding as of December 31, 2025</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828"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392,964</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363,094</w:t>
            </w:r>
          </w:p>
        </w:tc>
        <w:tc>
          <w:tcPr>
            <w:tcW w:w="158" w:type="dxa"/>
            <w:tcBorders/>
            <w:vAlign w:val="bottom"/>
          </w:tcPr>
          <w:p>
            <w:pPr>
              <w:pStyle w:val="TableContents"/>
              <w:bidi w:val="0"/>
              <w:spacing w:before="0" w:after="283"/>
              <w:jc w:val="left"/>
              <w:rPr/>
            </w:pPr>
            <w:r>
              <w:rPr/>
              <w:t> </w:t>
            </w:r>
          </w:p>
        </w:tc>
      </w:tr>
      <w:tr>
        <w:trPr/>
        <w:tc>
          <w:tcPr>
            <w:tcW w:w="6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87</w:t>
            </w:r>
          </w:p>
        </w:tc>
        <w:tc>
          <w:tcPr>
            <w:tcW w:w="158" w:type="dxa"/>
            <w:tcBorders/>
            <w:shd w:fill="CCEEFF" w:val="clear"/>
            <w:vAlign w:val="bottom"/>
          </w:tcPr>
          <w:p>
            <w:pPr>
              <w:pStyle w:val="TableContents"/>
              <w:bidi w:val="0"/>
              <w:spacing w:before="0" w:after="283"/>
              <w:jc w:val="left"/>
              <w:rPr/>
            </w:pPr>
            <w:r>
              <w:rPr/>
              <w:t> </w:t>
            </w:r>
          </w:p>
        </w:tc>
      </w:tr>
      <w:tr>
        <w:trPr/>
        <w:tc>
          <w:tcPr>
            <w:tcW w:w="682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(250,850</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(230,053</w:t>
            </w:r>
          </w:p>
        </w:tc>
        <w:tc>
          <w:tcPr>
            <w:tcW w:w="158" w:type="dxa"/>
            <w:tcBorders/>
            <w:vAlign w:val="bottom"/>
          </w:tcPr>
          <w:p>
            <w:pPr>
              <w:pStyle w:val="TableContents"/>
              <w:bidi w:val="0"/>
              <w:spacing w:before="0" w:after="283"/>
              <w:jc w:val="left"/>
              <w:rPr/>
            </w:pPr>
            <w:r>
              <w:rPr/>
              <w:t>) </w:t>
            </w:r>
          </w:p>
        </w:tc>
      </w:tr>
      <w:tr>
        <w:trPr/>
        <w:tc>
          <w:tcPr>
            <w:tcW w:w="6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142,074</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133,139</w:t>
            </w:r>
          </w:p>
        </w:tc>
        <w:tc>
          <w:tcPr>
            <w:tcW w:w="158" w:type="dxa"/>
            <w:tcBorders/>
            <w:shd w:fill="CCEEFF" w:val="clear"/>
            <w:vAlign w:val="bottom"/>
          </w:tcPr>
          <w:p>
            <w:pPr>
              <w:pStyle w:val="TableContents"/>
              <w:bidi w:val="0"/>
              <w:spacing w:before="0" w:after="283"/>
              <w:jc w:val="left"/>
              <w:rPr/>
            </w:pPr>
            <w:r>
              <w:rPr/>
              <w:t> </w:t>
            </w:r>
          </w:p>
        </w:tc>
      </w:tr>
      <w:tr>
        <w:trPr/>
        <w:tc>
          <w:tcPr>
            <w:tcW w:w="682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2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152,045</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84" w:type="dxa"/>
            <w:tcBorders/>
            <w:vAlign w:val="bottom"/>
          </w:tcPr>
          <w:p>
            <w:pPr>
              <w:pStyle w:val="TableContents"/>
              <w:bidi w:val="0"/>
              <w:spacing w:before="0" w:after="283"/>
              <w:jc w:val="right"/>
              <w:rPr/>
            </w:pPr>
            <w:r>
              <w:rPr/>
              <w:t>152,976</w:t>
            </w:r>
          </w:p>
        </w:tc>
        <w:tc>
          <w:tcPr>
            <w:tcW w:w="158" w:type="dxa"/>
            <w:tcBorders/>
            <w:vAlign w:val="bottom"/>
          </w:tcPr>
          <w:p>
            <w:pPr>
              <w:pStyle w:val="TableContents"/>
              <w:bidi w:val="0"/>
              <w:spacing w:before="0" w:after="283"/>
              <w:jc w:val="left"/>
              <w:rPr/>
            </w:pPr>
            <w:r>
              <w:rPr/>
              <w:t> </w:t>
            </w:r>
          </w:p>
        </w:tc>
      </w:tr>
      <w:tr>
        <w:trPr/>
        <w:tc>
          <w:tcPr>
            <w:tcW w:w="682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33500" cy="533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33500" cy="533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IMAGENEBIO,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18"/>
        <w:gridCol w:w="188"/>
        <w:gridCol w:w="140"/>
        <w:gridCol w:w="1169"/>
        <w:gridCol w:w="155"/>
        <w:gridCol w:w="139"/>
        <w:gridCol w:w="140"/>
        <w:gridCol w:w="1026"/>
        <w:gridCol w:w="155"/>
        <w:gridCol w:w="139"/>
        <w:gridCol w:w="140"/>
        <w:gridCol w:w="1124"/>
        <w:gridCol w:w="155"/>
        <w:gridCol w:w="139"/>
        <w:gridCol w:w="140"/>
        <w:gridCol w:w="980"/>
        <w:gridCol w:w="158"/>
      </w:tblGrid>
      <w:tr>
        <w:trPr/>
        <w:tc>
          <w:tcPr>
            <w:tcW w:w="4118"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1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7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6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58" w:type="dxa"/>
            <w:tcBorders/>
            <w:vAlign w:val="bottom"/>
          </w:tcPr>
          <w:p>
            <w:pPr>
              <w:pStyle w:val="TableContents"/>
              <w:bidi w:val="0"/>
              <w:spacing w:before="0" w:after="283"/>
              <w:jc w:val="left"/>
              <w:rPr/>
            </w:pPr>
            <w:r>
              <w:rPr/>
              <w:t> </w:t>
            </w:r>
          </w:p>
        </w:tc>
      </w:tr>
      <w:tr>
        <w:trPr/>
        <w:tc>
          <w:tcPr>
            <w:tcW w:w="411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41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License revenue</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800</w:t>
            </w:r>
          </w:p>
        </w:tc>
        <w:tc>
          <w:tcPr>
            <w:tcW w:w="158" w:type="dxa"/>
            <w:tcBorders/>
            <w:shd w:fill="CCEEFF" w:val="clear"/>
            <w:vAlign w:val="bottom"/>
          </w:tcPr>
          <w:p>
            <w:pPr>
              <w:pStyle w:val="TableContents"/>
              <w:bidi w:val="0"/>
              <w:spacing w:before="0" w:after="283"/>
              <w:jc w:val="left"/>
              <w:rPr/>
            </w:pPr>
            <w:r>
              <w:rPr/>
              <w:t> </w:t>
            </w:r>
          </w:p>
        </w:tc>
      </w:tr>
      <w:tr>
        <w:trPr/>
        <w:tc>
          <w:tcPr>
            <w:tcW w:w="411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18"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4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6,669</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5,653</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12,630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9,693</w:t>
            </w:r>
          </w:p>
        </w:tc>
        <w:tc>
          <w:tcPr>
            <w:tcW w:w="158" w:type="dxa"/>
            <w:tcBorders/>
            <w:shd w:fill="CCEEFF" w:val="clear"/>
            <w:vAlign w:val="bottom"/>
          </w:tcPr>
          <w:p>
            <w:pPr>
              <w:pStyle w:val="TableContents"/>
              <w:bidi w:val="0"/>
              <w:spacing w:before="0" w:after="283"/>
              <w:jc w:val="left"/>
              <w:rPr/>
            </w:pPr>
            <w:r>
              <w:rPr/>
              <w:t> </w:t>
            </w:r>
          </w:p>
        </w:tc>
      </w:tr>
      <w:tr>
        <w:trPr/>
        <w:tc>
          <w:tcPr>
            <w:tcW w:w="4118"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5,115</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1,705</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11,233</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4,460</w:t>
            </w:r>
          </w:p>
        </w:tc>
        <w:tc>
          <w:tcPr>
            <w:tcW w:w="158" w:type="dxa"/>
            <w:tcBorders/>
            <w:vAlign w:val="bottom"/>
          </w:tcPr>
          <w:p>
            <w:pPr>
              <w:pStyle w:val="TableContents"/>
              <w:bidi w:val="0"/>
              <w:spacing w:before="0" w:after="283"/>
              <w:jc w:val="left"/>
              <w:rPr/>
            </w:pPr>
            <w:r>
              <w:rPr/>
              <w:t> </w:t>
            </w:r>
          </w:p>
        </w:tc>
      </w:tr>
      <w:tr>
        <w:trPr/>
        <w:tc>
          <w:tcPr>
            <w:tcW w:w="4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11,784</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7,358</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23,863</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14,153</w:t>
            </w:r>
          </w:p>
        </w:tc>
        <w:tc>
          <w:tcPr>
            <w:tcW w:w="158" w:type="dxa"/>
            <w:tcBorders/>
            <w:shd w:fill="CCEEFF" w:val="clear"/>
            <w:vAlign w:val="bottom"/>
          </w:tcPr>
          <w:p>
            <w:pPr>
              <w:pStyle w:val="TableContents"/>
              <w:bidi w:val="0"/>
              <w:spacing w:before="0" w:after="283"/>
              <w:jc w:val="left"/>
              <w:rPr/>
            </w:pPr>
            <w:r>
              <w:rPr/>
              <w:t> </w:t>
            </w:r>
          </w:p>
        </w:tc>
      </w:tr>
      <w:tr>
        <w:trPr/>
        <w:tc>
          <w:tcPr>
            <w:tcW w:w="411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18"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(11,784</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(7,358</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(23,863</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(13,353</w:t>
            </w:r>
          </w:p>
        </w:tc>
        <w:tc>
          <w:tcPr>
            <w:tcW w:w="158" w:type="dxa"/>
            <w:tcBorders/>
            <w:vAlign w:val="bottom"/>
          </w:tcPr>
          <w:p>
            <w:pPr>
              <w:pStyle w:val="TableContents"/>
              <w:bidi w:val="0"/>
              <w:spacing w:before="0" w:after="283"/>
              <w:jc w:val="left"/>
              <w:rPr/>
            </w:pPr>
            <w:r>
              <w:rPr/>
              <w:t>) </w:t>
            </w:r>
          </w:p>
        </w:tc>
      </w:tr>
      <w:tr>
        <w:trPr/>
        <w:tc>
          <w:tcPr>
            <w:tcW w:w="411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118"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(expense)</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1,248</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(236</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2,377</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(313</w:t>
            </w:r>
          </w:p>
        </w:tc>
        <w:tc>
          <w:tcPr>
            <w:tcW w:w="158" w:type="dxa"/>
            <w:tcBorders/>
            <w:vAlign w:val="bottom"/>
          </w:tcPr>
          <w:p>
            <w:pPr>
              <w:pStyle w:val="TableContents"/>
              <w:bidi w:val="0"/>
              <w:spacing w:before="0" w:after="283"/>
              <w:jc w:val="left"/>
              <w:rPr/>
            </w:pPr>
            <w:r>
              <w:rPr/>
              <w:t>) </w:t>
            </w:r>
          </w:p>
        </w:tc>
      </w:tr>
      <w:tr>
        <w:trPr/>
        <w:tc>
          <w:tcPr>
            <w:tcW w:w="4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374</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715</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w:t>
            </w:r>
          </w:p>
        </w:tc>
        <w:tc>
          <w:tcPr>
            <w:tcW w:w="158" w:type="dxa"/>
            <w:tcBorders/>
            <w:shd w:fill="CCEEFF" w:val="clear"/>
            <w:vAlign w:val="bottom"/>
          </w:tcPr>
          <w:p>
            <w:pPr>
              <w:pStyle w:val="TableContents"/>
              <w:bidi w:val="0"/>
              <w:spacing w:before="0" w:after="283"/>
              <w:jc w:val="left"/>
              <w:rPr/>
            </w:pPr>
            <w:r>
              <w:rPr/>
              <w:t> </w:t>
            </w:r>
          </w:p>
        </w:tc>
      </w:tr>
      <w:tr>
        <w:trPr/>
        <w:tc>
          <w:tcPr>
            <w:tcW w:w="411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18"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1,622</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(227</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3,092</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(309</w:t>
            </w:r>
          </w:p>
        </w:tc>
        <w:tc>
          <w:tcPr>
            <w:tcW w:w="158" w:type="dxa"/>
            <w:tcBorders/>
            <w:vAlign w:val="bottom"/>
          </w:tcPr>
          <w:p>
            <w:pPr>
              <w:pStyle w:val="TableContents"/>
              <w:bidi w:val="0"/>
              <w:spacing w:before="0" w:after="283"/>
              <w:jc w:val="left"/>
              <w:rPr/>
            </w:pPr>
            <w:r>
              <w:rPr/>
              <w:t>) </w:t>
            </w:r>
          </w:p>
        </w:tc>
      </w:tr>
      <w:tr>
        <w:trPr/>
        <w:tc>
          <w:tcPr>
            <w:tcW w:w="411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(10,162</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(7,585</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(20,771</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(13,662</w:t>
            </w:r>
          </w:p>
        </w:tc>
        <w:tc>
          <w:tcPr>
            <w:tcW w:w="158" w:type="dxa"/>
            <w:tcBorders/>
            <w:shd w:fill="CCEEFF" w:val="clear"/>
            <w:vAlign w:val="bottom"/>
          </w:tcPr>
          <w:p>
            <w:pPr>
              <w:pStyle w:val="TableContents"/>
              <w:bidi w:val="0"/>
              <w:spacing w:before="0" w:after="283"/>
              <w:jc w:val="left"/>
              <w:rPr/>
            </w:pPr>
            <w:r>
              <w:rPr/>
              <w:t>) </w:t>
            </w:r>
          </w:p>
        </w:tc>
      </w:tr>
      <w:tr>
        <w:trPr/>
        <w:tc>
          <w:tcPr>
            <w:tcW w:w="411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411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(10,178</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(7,585</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(20,797</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(13,662</w:t>
            </w:r>
          </w:p>
        </w:tc>
        <w:tc>
          <w:tcPr>
            <w:tcW w:w="158" w:type="dxa"/>
            <w:tcBorders/>
            <w:shd w:fill="CCEEFF" w:val="clear"/>
            <w:vAlign w:val="bottom"/>
          </w:tcPr>
          <w:p>
            <w:pPr>
              <w:pStyle w:val="TableContents"/>
              <w:bidi w:val="0"/>
              <w:spacing w:before="0" w:after="283"/>
              <w:jc w:val="left"/>
              <w:rPr/>
            </w:pPr>
            <w:r>
              <w:rPr/>
              <w:t>) </w:t>
            </w:r>
          </w:p>
        </w:tc>
      </w:tr>
      <w:tr>
        <w:trPr/>
        <w:tc>
          <w:tcPr>
            <w:tcW w:w="4118"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redeemable convertible preferred shares</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(3,149</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(6,200</w:t>
            </w:r>
          </w:p>
        </w:tc>
        <w:tc>
          <w:tcPr>
            <w:tcW w:w="158" w:type="dxa"/>
            <w:tcBorders/>
            <w:vAlign w:val="bottom"/>
          </w:tcPr>
          <w:p>
            <w:pPr>
              <w:pStyle w:val="TableContents"/>
              <w:bidi w:val="0"/>
              <w:spacing w:before="0" w:after="283"/>
              <w:jc w:val="left"/>
              <w:rPr/>
            </w:pPr>
            <w:r>
              <w:rPr/>
              <w:t>) </w:t>
            </w:r>
          </w:p>
        </w:tc>
      </w:tr>
      <w:tr>
        <w:trPr/>
        <w:tc>
          <w:tcPr>
            <w:tcW w:w="411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9" w:type="dxa"/>
            <w:tcBorders/>
            <w:shd w:fill="CCEEFF" w:val="clear"/>
            <w:vAlign w:val="bottom"/>
          </w:tcPr>
          <w:p>
            <w:pPr>
              <w:pStyle w:val="TableContents"/>
              <w:bidi w:val="0"/>
              <w:spacing w:before="0" w:after="283"/>
              <w:jc w:val="right"/>
              <w:rPr/>
            </w:pPr>
            <w:r>
              <w:rPr/>
              <w:t>(10,178</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(10,734</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4" w:type="dxa"/>
            <w:tcBorders/>
            <w:shd w:fill="CCEEFF" w:val="clear"/>
            <w:vAlign w:val="bottom"/>
          </w:tcPr>
          <w:p>
            <w:pPr>
              <w:pStyle w:val="TableContents"/>
              <w:bidi w:val="0"/>
              <w:spacing w:before="0" w:after="283"/>
              <w:jc w:val="right"/>
              <w:rPr/>
            </w:pPr>
            <w:r>
              <w:rPr/>
              <w:t>(20,797</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(19,862</w:t>
            </w:r>
          </w:p>
        </w:tc>
        <w:tc>
          <w:tcPr>
            <w:tcW w:w="158" w:type="dxa"/>
            <w:tcBorders/>
            <w:shd w:fill="CCEEFF" w:val="clear"/>
            <w:vAlign w:val="bottom"/>
          </w:tcPr>
          <w:p>
            <w:pPr>
              <w:pStyle w:val="TableContents"/>
              <w:bidi w:val="0"/>
              <w:spacing w:before="0" w:after="283"/>
              <w:jc w:val="left"/>
              <w:rPr/>
            </w:pPr>
            <w:r>
              <w:rPr/>
              <w:t>) </w:t>
            </w:r>
          </w:p>
        </w:tc>
      </w:tr>
      <w:tr>
        <w:trPr/>
        <w:tc>
          <w:tcPr>
            <w:tcW w:w="411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 per common share, basic and diluted</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69" w:type="dxa"/>
            <w:tcBorders/>
            <w:vAlign w:val="bottom"/>
          </w:tcPr>
          <w:p>
            <w:pPr>
              <w:pStyle w:val="TableContents"/>
              <w:bidi w:val="0"/>
              <w:spacing w:before="0" w:after="283"/>
              <w:jc w:val="right"/>
              <w:rPr/>
            </w:pPr>
            <w:r>
              <w:rPr/>
              <w:t>(0.63</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(4.46</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4" w:type="dxa"/>
            <w:tcBorders/>
            <w:vAlign w:val="bottom"/>
          </w:tcPr>
          <w:p>
            <w:pPr>
              <w:pStyle w:val="TableContents"/>
              <w:bidi w:val="0"/>
              <w:spacing w:before="0" w:after="283"/>
              <w:jc w:val="right"/>
              <w:rPr/>
            </w:pPr>
            <w:r>
              <w:rPr/>
              <w:t>(1.52</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(8.26</w:t>
            </w:r>
          </w:p>
        </w:tc>
        <w:tc>
          <w:tcPr>
            <w:tcW w:w="158" w:type="dxa"/>
            <w:tcBorders/>
            <w:vAlign w:val="bottom"/>
          </w:tcPr>
          <w:p>
            <w:pPr>
              <w:pStyle w:val="TableContents"/>
              <w:bidi w:val="0"/>
              <w:spacing w:before="0" w:after="283"/>
              <w:jc w:val="left"/>
              <w:rPr/>
            </w:pPr>
            <w:r>
              <w:rPr/>
              <w:t>) </w:t>
            </w:r>
          </w:p>
        </w:tc>
      </w:tr>
      <w:tr>
        <w:trPr/>
        <w:tc>
          <w:tcPr>
            <w:tcW w:w="411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16,161,721</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2,406,516</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13,700,170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2,405,680</w:t>
            </w:r>
          </w:p>
        </w:tc>
        <w:tc>
          <w:tcPr>
            <w:tcW w:w="158" w:type="dxa"/>
            <w:tcBorders/>
            <w:shd w:fill="CCEEFF" w:val="clear"/>
            <w:vAlign w:val="bottom"/>
          </w:tcPr>
          <w:p>
            <w:pPr>
              <w:pStyle w:val="TableContents"/>
              <w:bidi w:val="0"/>
              <w:spacing w:before="0" w:after="283"/>
              <w:jc w:val="left"/>
              <w:rPr/>
            </w:pPr>
            <w:r>
              <w:rPr/>
              <w:t> </w:t>
            </w:r>
          </w:p>
        </w:tc>
      </w:tr>
      <w:tr>
        <w:trPr/>
        <w:tc>
          <w:tcPr>
            <w:tcW w:w="411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18"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41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9" w:type="dxa"/>
            <w:tcBorders/>
            <w:shd w:fill="CCEEFF" w:val="clear"/>
            <w:vAlign w:val="bottom"/>
          </w:tcPr>
          <w:p>
            <w:pPr>
              <w:pStyle w:val="TableContents"/>
              <w:bidi w:val="0"/>
              <w:spacing w:before="0" w:after="283"/>
              <w:jc w:val="right"/>
              <w:rPr/>
            </w:pPr>
            <w:r>
              <w:rPr/>
              <w:t>(10,178</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(7,585</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4" w:type="dxa"/>
            <w:tcBorders/>
            <w:shd w:fill="CCEEFF" w:val="clear"/>
            <w:vAlign w:val="bottom"/>
          </w:tcPr>
          <w:p>
            <w:pPr>
              <w:pStyle w:val="TableContents"/>
              <w:bidi w:val="0"/>
              <w:spacing w:before="0" w:after="283"/>
              <w:jc w:val="right"/>
              <w:rPr/>
            </w:pPr>
            <w:r>
              <w:rPr/>
              <w:t>(20,797</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(13,662</w:t>
            </w:r>
          </w:p>
        </w:tc>
        <w:tc>
          <w:tcPr>
            <w:tcW w:w="158" w:type="dxa"/>
            <w:tcBorders/>
            <w:shd w:fill="CCEEFF" w:val="clear"/>
            <w:vAlign w:val="bottom"/>
          </w:tcPr>
          <w:p>
            <w:pPr>
              <w:pStyle w:val="TableContents"/>
              <w:bidi w:val="0"/>
              <w:spacing w:before="0" w:after="283"/>
              <w:jc w:val="left"/>
              <w:rPr/>
            </w:pPr>
            <w:r>
              <w:rPr/>
              <w:t>) </w:t>
            </w:r>
          </w:p>
        </w:tc>
      </w:tr>
      <w:tr>
        <w:trPr/>
        <w:tc>
          <w:tcPr>
            <w:tcW w:w="4118"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4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 on marketable securities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(138</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4118"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(26</w:t>
            </w:r>
          </w:p>
        </w:tc>
        <w:tc>
          <w:tcPr>
            <w:tcW w:w="158" w:type="dxa"/>
            <w:tcBorders/>
            <w:vAlign w:val="bottom"/>
          </w:tcPr>
          <w:p>
            <w:pPr>
              <w:pStyle w:val="TableContents"/>
              <w:bidi w:val="0"/>
              <w:spacing w:before="0" w:after="283"/>
              <w:jc w:val="left"/>
              <w:rPr/>
            </w:pPr>
            <w:r>
              <w:rPr/>
              <w:t>) </w:t>
            </w:r>
          </w:p>
        </w:tc>
      </w:tr>
      <w:tr>
        <w:trPr/>
        <w:tc>
          <w:tcPr>
            <w:tcW w:w="411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comprehensive loss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9" w:type="dxa"/>
            <w:tcBorders/>
            <w:shd w:fill="CCEEFF" w:val="clear"/>
            <w:vAlign w:val="bottom"/>
          </w:tcPr>
          <w:p>
            <w:pPr>
              <w:pStyle w:val="TableContents"/>
              <w:bidi w:val="0"/>
              <w:spacing w:before="0" w:after="283"/>
              <w:jc w:val="right"/>
              <w:rPr/>
            </w:pPr>
            <w:r>
              <w:rPr/>
              <w:t>(10,212</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(7,602</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4" w:type="dxa"/>
            <w:tcBorders/>
            <w:shd w:fill="CCEEFF" w:val="clear"/>
            <w:vAlign w:val="bottom"/>
          </w:tcPr>
          <w:p>
            <w:pPr>
              <w:pStyle w:val="TableContents"/>
              <w:bidi w:val="0"/>
              <w:spacing w:before="0" w:after="283"/>
              <w:jc w:val="right"/>
              <w:rPr/>
            </w:pPr>
            <w:r>
              <w:rPr/>
              <w:t>(20,935</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(13,688</w:t>
            </w:r>
          </w:p>
        </w:tc>
        <w:tc>
          <w:tcPr>
            <w:tcW w:w="158" w:type="dxa"/>
            <w:tcBorders/>
            <w:shd w:fill="CCEEFF" w:val="clear"/>
            <w:vAlign w:val="bottom"/>
          </w:tcPr>
          <w:p>
            <w:pPr>
              <w:pStyle w:val="TableContents"/>
              <w:bidi w:val="0"/>
              <w:spacing w:before="0" w:after="283"/>
              <w:jc w:val="left"/>
              <w:rPr/>
            </w:pPr>
            <w:r>
              <w:rPr/>
              <w:t>) </w:t>
            </w:r>
          </w:p>
        </w:tc>
      </w:tr>
      <w:tr>
        <w:trPr/>
        <w:tc>
          <w:tcPr>
            <w:tcW w:w="411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Rebecca Cohen </w:t>
      </w:r>
    </w:p>
    <w:p>
      <w:pPr>
        <w:pStyle w:val="TextBody"/>
        <w:bidi w:val="0"/>
        <w:spacing w:before="0" w:after="0"/>
        <w:jc w:val="left"/>
        <w:rPr>
          <w:rFonts w:ascii="Times New Roman" w:hAnsi="Times New Roman"/>
          <w:sz w:val="20"/>
        </w:rPr>
      </w:pPr>
      <w:r>
        <w:rPr>
          <w:rFonts w:ascii="Times New Roman" w:hAnsi="Times New Roman"/>
          <w:sz w:val="20"/>
        </w:rPr>
        <w:t xml:space="preserve">rcohen@imagenebio.com </w:t>
      </w:r>
    </w:p>
    <w:p>
      <w:pPr>
        <w:pStyle w:val="TextBody"/>
        <w:bidi w:val="0"/>
        <w:spacing w:before="24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Jason Braco, PhD </w:t>
      </w:r>
    </w:p>
    <w:p>
      <w:pPr>
        <w:pStyle w:val="TextBody"/>
        <w:bidi w:val="0"/>
        <w:spacing w:before="0" w:after="0"/>
        <w:jc w:val="left"/>
        <w:rPr>
          <w:rFonts w:ascii="Times New Roman" w:hAnsi="Times New Roman"/>
          <w:sz w:val="20"/>
        </w:rPr>
      </w:pPr>
      <w:r>
        <w:rPr>
          <w:rFonts w:ascii="Times New Roman" w:hAnsi="Times New Roman"/>
          <w:sz w:val="20"/>
        </w:rPr>
        <w:t xml:space="preserve">Valence Communications </w:t>
      </w:r>
    </w:p>
    <w:p>
      <w:pPr>
        <w:pStyle w:val="TextBody"/>
        <w:bidi w:val="0"/>
        <w:spacing w:before="0" w:after="0"/>
        <w:jc w:val="left"/>
        <w:rPr>
          <w:rFonts w:ascii="Times New Roman" w:hAnsi="Times New Roman"/>
          <w:sz w:val="20"/>
        </w:rPr>
      </w:pPr>
      <w:r>
        <w:rPr>
          <w:rFonts w:ascii="Times New Roman" w:hAnsi="Times New Roman"/>
          <w:sz w:val="20"/>
        </w:rPr>
        <w:t xml:space="preserve">jason@valencecomms.com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2639</Words>
  <Characters>15022</Characters>
  <CharactersWithSpaces>18216</CharactersWithSpaces>
  <Paragraphs>1159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