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0354ds3.htm"/>
        <w:bookmarkStart w:id="1" w:name="ksd150354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August 5,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IMAGENEBIO,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81-1697316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7"/>
        </w:rPr>
      </w:pPr>
      <w:r>
        <w:rPr>
          <w:rFonts w:ascii="Times New Roman" w:hAnsi="Times New Roman"/>
          <w:b/>
          <w:sz w:val="17"/>
        </w:rPr>
        <w:t xml:space="preserve">12526 High Bluff Drive, Suite 345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92130 </w:t>
      </w:r>
    </w:p>
    <w:p>
      <w:pPr>
        <w:pStyle w:val="TextBody"/>
        <w:bidi w:val="0"/>
        <w:spacing w:before="0" w:after="0"/>
        <w:jc w:val="center"/>
        <w:rPr>
          <w:rFonts w:ascii="Times New Roman" w:hAnsi="Times New Roman"/>
          <w:b/>
          <w:sz w:val="17"/>
        </w:rPr>
      </w:pPr>
      <w:r>
        <w:rPr>
          <w:rFonts w:ascii="Times New Roman" w:hAnsi="Times New Roman"/>
          <w:b/>
          <w:sz w:val="17"/>
        </w:rPr>
        <w:t xml:space="preserve">(858) 345-6265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7"/>
        </w:rPr>
      </w:pPr>
      <w:r>
        <w:rPr>
          <w:rFonts w:ascii="Times New Roman" w:hAnsi="Times New Roman"/>
          <w:b/>
          <w:sz w:val="17"/>
        </w:rPr>
        <w:t xml:space="preserve">Kristin Yarema, Ph.D.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12526 High Bluff Drive, Suite 345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92130 </w:t>
      </w:r>
    </w:p>
    <w:p>
      <w:pPr>
        <w:pStyle w:val="TextBody"/>
        <w:bidi w:val="0"/>
        <w:spacing w:before="0" w:after="0"/>
        <w:jc w:val="center"/>
        <w:rPr>
          <w:rFonts w:ascii="Times New Roman" w:hAnsi="Times New Roman"/>
          <w:b/>
          <w:sz w:val="17"/>
        </w:rPr>
      </w:pPr>
      <w:r>
        <w:rPr>
          <w:rFonts w:ascii="Times New Roman" w:hAnsi="Times New Roman"/>
          <w:b/>
          <w:sz w:val="17"/>
        </w:rPr>
        <w:t xml:space="preserve">(858) 345-6265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120" w:after="0"/>
        <w:jc w:val="center"/>
        <w:rPr>
          <w:rFonts w:ascii="Times New Roman" w:hAnsi="Times New Roman"/>
          <w:b/>
          <w:sz w:val="17"/>
        </w:rPr>
      </w:pPr>
      <w:r>
        <w:rPr>
          <w:rFonts w:ascii="Times New Roman" w:hAnsi="Times New Roman"/>
          <w:b/>
          <w:sz w:val="17"/>
        </w:rPr>
        <w:t xml:space="preserve">Thomas A. Coll, Esq. </w:t>
      </w:r>
    </w:p>
    <w:p>
      <w:pPr>
        <w:pStyle w:val="TextBody"/>
        <w:bidi w:val="0"/>
        <w:spacing w:before="0" w:after="0"/>
        <w:jc w:val="center"/>
        <w:rPr>
          <w:rFonts w:ascii="Times New Roman" w:hAnsi="Times New Roman"/>
          <w:b/>
          <w:sz w:val="17"/>
        </w:rPr>
      </w:pPr>
      <w:r>
        <w:rPr>
          <w:rFonts w:ascii="Times New Roman" w:hAnsi="Times New Roman"/>
          <w:b/>
          <w:sz w:val="17"/>
        </w:rPr>
        <w:t xml:space="preserve">Asa M. Henin, Esq. </w:t>
      </w:r>
    </w:p>
    <w:p>
      <w:pPr>
        <w:pStyle w:val="TextBody"/>
        <w:bidi w:val="0"/>
        <w:spacing w:before="0" w:after="0"/>
        <w:jc w:val="center"/>
        <w:rPr>
          <w:rFonts w:ascii="Times New Roman" w:hAnsi="Times New Roman"/>
          <w:b/>
          <w:sz w:val="17"/>
        </w:rPr>
      </w:pPr>
      <w:r>
        <w:rPr>
          <w:rFonts w:ascii="Times New Roman" w:hAnsi="Times New Roman"/>
          <w:b/>
          <w:sz w:val="17"/>
        </w:rPr>
        <w:t xml:space="preserve">Dylan S. Kornbluth, Esq. </w:t>
      </w:r>
    </w:p>
    <w:p>
      <w:pPr>
        <w:pStyle w:val="TextBody"/>
        <w:bidi w:val="0"/>
        <w:spacing w:before="0" w:after="0"/>
        <w:jc w:val="center"/>
        <w:rPr>
          <w:rFonts w:ascii="Times New Roman" w:hAnsi="Times New Roman"/>
          <w:b/>
          <w:sz w:val="17"/>
        </w:rPr>
      </w:pPr>
      <w:r>
        <w:rPr>
          <w:rFonts w:ascii="Times New Roman" w:hAnsi="Times New Roman"/>
          <w:b/>
          <w:sz w:val="17"/>
        </w:rPr>
        <w:t xml:space="preserve">Brittany K. Wightman, Esq. </w:t>
      </w:r>
    </w:p>
    <w:p>
      <w:pPr>
        <w:pStyle w:val="TextBody"/>
        <w:bidi w:val="0"/>
        <w:spacing w:before="0" w:after="0"/>
        <w:jc w:val="center"/>
        <w:rPr>
          <w:rFonts w:ascii="Times New Roman" w:hAnsi="Times New Roman"/>
          <w:b/>
          <w:sz w:val="17"/>
        </w:rPr>
      </w:pPr>
      <w:r>
        <w:rPr>
          <w:rFonts w:ascii="Times New Roman" w:hAnsi="Times New Roman"/>
          <w:b/>
          <w:sz w:val="17"/>
        </w:rPr>
        <w:t xml:space="preserve">Cooley LLP </w:t>
      </w:r>
    </w:p>
    <w:p>
      <w:pPr>
        <w:pStyle w:val="TextBody"/>
        <w:bidi w:val="0"/>
        <w:spacing w:before="0" w:after="0"/>
        <w:jc w:val="center"/>
        <w:rPr>
          <w:rFonts w:ascii="Times New Roman" w:hAnsi="Times New Roman"/>
          <w:b/>
          <w:sz w:val="17"/>
        </w:rPr>
      </w:pPr>
      <w:r>
        <w:rPr>
          <w:rFonts w:ascii="Times New Roman" w:hAnsi="Times New Roman"/>
          <w:b/>
          <w:sz w:val="17"/>
        </w:rPr>
        <w:t xml:space="preserve">10265 Science Center Drive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92121 </w:t>
      </w:r>
    </w:p>
    <w:p>
      <w:pPr>
        <w:pStyle w:val="TextBody"/>
        <w:bidi w:val="0"/>
        <w:spacing w:before="0" w:after="0"/>
        <w:jc w:val="center"/>
        <w:rPr>
          <w:rFonts w:ascii="Times New Roman" w:hAnsi="Times New Roman"/>
          <w:b/>
          <w:sz w:val="17"/>
        </w:rPr>
      </w:pPr>
      <w:r>
        <w:rPr>
          <w:rFonts w:ascii="Times New Roman" w:hAnsi="Times New Roman"/>
          <w:b/>
          <w:sz w:val="17"/>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7"/>
        </w:rPr>
      </w:pPr>
      <w:r>
        <w:rPr>
          <w:rFonts w:ascii="Times New Roman" w:hAnsi="Times New Roman"/>
          <w:b/>
          <w:sz w:val="17"/>
        </w:rPr>
        <w:t>Approximate date of commencement of proposed sale to the public:</w:t>
      </w:r>
      <w:r>
        <w:rPr>
          <w:rFonts w:ascii="Times New Roman" w:hAnsi="Times New Roman"/>
          <w:sz w:val="17"/>
        </w:rPr>
        <w:t xml:space="preserve"> From time to time after the effective date of this Registration Statement. </w:t>
      </w:r>
    </w:p>
    <w:p>
      <w:pPr>
        <w:pStyle w:val="TextBody"/>
        <w:bidi w:val="0"/>
        <w:spacing w:before="12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60"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two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the registrant of up to a maximum aggregate offering price of $200,000,000 of the registrant’s common stock, preferred stock, debt securities and/or warrants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covering the offering, issuance and sale by the registrant of up to a maximum aggregate offering price of up to $17.0 million of the registrant’s voting common stock (“common stock”) that may be issued and sold from time to time under an Open Market Sale Agreement, dated August 5, 2026 (the “sales agreement”), with Jefferies LLC.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one or more prospectus supplements to the base prospectus. The sales agreement prospectus immediately follows the base prospectus. The $17,000,000 of common stock that may be offered, issued and sold by the registrant under the sales agreement prospectus is included in the $200,000,000 of securities that may be offered, issued and sold by the registrant under the base prospectus. Upon termination of the sales agreement with Jefferies LLC, any portion of the $17,000,000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$200,000,000 of securities may be sold in other offerings pursuant to the base prospectus and a corresponding prospectus supplement.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8"/>
        </w:rPr>
      </w:pPr>
      <w:r>
        <w:rPr>
          <w:rFonts w:ascii="Times New Roman" w:hAnsi="Times New Roman"/>
          <w:b/>
          <w:color w:val="FF4338"/>
          <w:sz w:val="18"/>
        </w:rPr>
        <w:t xml:space="preserve">Subject to Completion, dated August 5,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120" w:after="0"/>
        <w:ind w:left="960" w:right="960" w:hanging="0"/>
        <w:jc w:val="center"/>
        <w:rPr>
          <w:rFonts w:ascii="Times New Roman" w:hAnsi="Times New Roman"/>
          <w:b/>
          <w:sz w:val="32"/>
        </w:rPr>
      </w:pPr>
      <w:r>
        <w:rPr>
          <w:rFonts w:ascii="Times New Roman" w:hAnsi="Times New Roman"/>
          <w:b/>
          <w:sz w:val="32"/>
        </w:rPr>
        <w:t xml:space="preserve">$200,000,000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241675" cy="11766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41675" cy="1176655"/>
                    </a:xfrm>
                    <a:prstGeom prst="rect">
                      <a:avLst/>
                    </a:prstGeom>
                  </pic:spPr>
                </pic:pic>
              </a:graphicData>
            </a:graphic>
          </wp:inline>
        </w:drawing>
      </w:r>
      <w:r>
        <w:rPr/>
        <w:t xml:space="preserve"> </w:t>
      </w:r>
    </w:p>
    <w:p>
      <w:pPr>
        <w:pStyle w:val="TextBody"/>
        <w:bidi w:val="0"/>
        <w:spacing w:before="80" w:after="0"/>
        <w:ind w:left="960" w:right="960" w:hanging="0"/>
        <w:jc w:val="center"/>
        <w:rPr>
          <w:rFonts w:ascii="Times New Roman" w:hAnsi="Times New Roman"/>
          <w:b/>
          <w:sz w:val="26"/>
        </w:rPr>
      </w:pPr>
      <w:r>
        <w:rPr>
          <w:rFonts w:ascii="Times New Roman" w:hAnsi="Times New Roman"/>
          <w:b/>
          <w:sz w:val="26"/>
        </w:rPr>
        <w:t xml:space="preserve">Common Stock </w:t>
      </w:r>
    </w:p>
    <w:p>
      <w:pPr>
        <w:pStyle w:val="TextBody"/>
        <w:bidi w:val="0"/>
        <w:spacing w:before="0" w:after="0"/>
        <w:ind w:left="960" w:right="960" w:hanging="0"/>
        <w:jc w:val="center"/>
        <w:rPr>
          <w:rFonts w:ascii="Times New Roman" w:hAnsi="Times New Roman"/>
          <w:b/>
          <w:sz w:val="26"/>
        </w:rPr>
      </w:pPr>
      <w:r>
        <w:rPr>
          <w:rFonts w:ascii="Times New Roman" w:hAnsi="Times New Roman"/>
          <w:b/>
          <w:sz w:val="26"/>
        </w:rPr>
        <w:t xml:space="preserve">Preferred Stock </w:t>
      </w:r>
    </w:p>
    <w:p>
      <w:pPr>
        <w:pStyle w:val="TextBody"/>
        <w:bidi w:val="0"/>
        <w:spacing w:before="0" w:after="0"/>
        <w:ind w:left="960" w:right="960" w:hanging="0"/>
        <w:jc w:val="center"/>
        <w:rPr>
          <w:rFonts w:ascii="Times New Roman" w:hAnsi="Times New Roman"/>
          <w:b/>
          <w:sz w:val="26"/>
        </w:rPr>
      </w:pPr>
      <w:r>
        <w:rPr>
          <w:rFonts w:ascii="Times New Roman" w:hAnsi="Times New Roman"/>
          <w:b/>
          <w:sz w:val="26"/>
        </w:rPr>
        <w:t xml:space="preserve">Debt Securities </w:t>
      </w:r>
    </w:p>
    <w:p>
      <w:pPr>
        <w:pStyle w:val="TextBody"/>
        <w:bidi w:val="0"/>
        <w:spacing w:before="0" w:after="0"/>
        <w:ind w:left="960" w:right="960" w:hanging="0"/>
        <w:jc w:val="center"/>
        <w:rPr>
          <w:rFonts w:ascii="Times New Roman" w:hAnsi="Times New Roman"/>
          <w:b/>
          <w:sz w:val="26"/>
        </w:rPr>
      </w:pPr>
      <w:r>
        <w:rPr>
          <w:rFonts w:ascii="Times New Roman" w:hAnsi="Times New Roman"/>
          <w:b/>
          <w:sz w:val="26"/>
        </w:rPr>
        <w:t xml:space="preserve">Warrants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80" w:after="0"/>
        <w:ind w:left="960" w:right="960" w:hanging="0"/>
        <w:jc w:val="left"/>
        <w:rPr>
          <w:rFonts w:ascii="Times New Roman" w:hAnsi="Times New Roman"/>
          <w:sz w:val="18"/>
        </w:rPr>
      </w:pPr>
      <w:r>
        <w:rPr>
          <w:rFonts w:ascii="Times New Roman" w:hAnsi="Times New Roman"/>
          <w:sz w:val="18"/>
        </w:rPr>
        <w:t xml:space="preserve">From time to time, we may offer and sell up to $200,000,000 of any combination of the securities described in this prospectus, either individually or in combination with other securities. We may also offer common stock or preferred stock upon conversion of debt securities, common stock upon conversion of preferred stock, or common stock, preferred stock or debt securities upon the exercise of warrants. </w:t>
      </w:r>
    </w:p>
    <w:p>
      <w:pPr>
        <w:pStyle w:val="TextBody"/>
        <w:bidi w:val="0"/>
        <w:spacing w:before="80" w:after="0"/>
        <w:ind w:left="960" w:right="960" w:hanging="0"/>
        <w:jc w:val="left"/>
        <w:rPr>
          <w:rFonts w:ascii="Times New Roman" w:hAnsi="Times New Roman"/>
          <w:sz w:val="18"/>
        </w:rPr>
      </w:pPr>
      <w:r>
        <w:rPr>
          <w:rFonts w:ascii="Times New Roman" w:hAnsi="Times New Roman"/>
          <w:sz w:val="18"/>
        </w:rPr>
        <w:t xml:space="preserve">Each time we sell securities pursuant to this prospectus,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 </w:t>
      </w:r>
    </w:p>
    <w:p>
      <w:pPr>
        <w:pStyle w:val="TextBody"/>
        <w:bidi w:val="0"/>
        <w:spacing w:before="80" w:after="0"/>
        <w:ind w:left="960" w:right="960" w:hanging="0"/>
        <w:jc w:val="left"/>
        <w:rPr>
          <w:rFonts w:ascii="Times New Roman" w:hAnsi="Times New Roman"/>
          <w:sz w:val="18"/>
        </w:rPr>
      </w:pPr>
      <w:r>
        <w:rPr>
          <w:rFonts w:ascii="Times New Roman" w:hAnsi="Times New Roman"/>
          <w:sz w:val="18"/>
        </w:rPr>
        <w:t xml:space="preserve">Our voting common stock (“common stock”) is listed on the Nasdaq Capital Market under the trading symbol “IMA.” On August 4, 2026, the last reported sale price of our common stock was $5.71 per share. The applicable prospectus supplement will contain information, where applicable, as to other listings, if any, on the Nasdaq Capital Market or any other securities exchange of the securities covered by the applicable prospectus supplement. </w:t>
      </w:r>
    </w:p>
    <w:p>
      <w:pPr>
        <w:pStyle w:val="TextBody"/>
        <w:bidi w:val="0"/>
        <w:spacing w:before="80" w:after="0"/>
        <w:ind w:left="960" w:right="960" w:hanging="0"/>
        <w:jc w:val="left"/>
        <w:rPr>
          <w:rFonts w:ascii="Times New Roman" w:hAnsi="Times New Roman"/>
          <w:sz w:val="18"/>
        </w:rPr>
      </w:pPr>
      <w:r>
        <w:rPr>
          <w:rFonts w:ascii="Times New Roman" w:hAnsi="Times New Roman"/>
          <w:sz w:val="18"/>
        </w:rPr>
        <w:t xml:space="preserve">As of August 4, 2026, the aggregate market value of our common stock held by our non-affiliates, as calculated pursuant to the rules of the Securities and Exchange Commission, was approximately $51.1 million, based upon 8,370,413 shares of our outstanding common stock held by non-affiliates at the per share price of $6.11, the closing sale price of our common stock on Nasdaq on July 13, 2026. We have not offered any securities pursuant to General Instruction I.B.6 of Form S-3 during the prior 12-calendar month period that ends on and includes the date of this prospectus, other than the common stock being offered pursuant to that certain sales agreement prospectus included in the registration statement of which this prospectus is a part and is dated the same date as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 </w:t>
      </w:r>
    </w:p>
    <w:p>
      <w:pPr>
        <w:pStyle w:val="TextBody"/>
        <w:bidi w:val="0"/>
        <w:spacing w:before="80" w:after="0"/>
        <w:ind w:left="960" w:right="960" w:hanging="0"/>
        <w:jc w:val="left"/>
        <w:rPr>
          <w:rFonts w:ascii="Times New Roman" w:hAnsi="Times New Roman"/>
          <w:sz w:val="18"/>
        </w:rPr>
      </w:pPr>
      <w:r>
        <w:rPr>
          <w:rFonts w:ascii="Times New Roman" w:hAnsi="Times New Roman"/>
          <w:sz w:val="18"/>
        </w:rPr>
        <w:t xml:space="preserve">We are an “emerging growth company” and a “smaller reporting company” as defined under the federal securities laws, and, as such, may elect to comply with certain reduced public company reporting requirements for future filings. See “Prospectus Summary—Implications of Being an Emerging Growth Company and Smaller Reporting Company.” </w:t>
      </w:r>
    </w:p>
    <w:p>
      <w:pPr>
        <w:pStyle w:val="TextBody"/>
        <w:bidi w:val="0"/>
        <w:spacing w:before="80" w:after="0"/>
        <w:ind w:left="960" w:right="960" w:hanging="0"/>
        <w:jc w:val="left"/>
        <w:rPr/>
      </w:pPr>
      <w:r>
        <w:rPr>
          <w:rFonts w:ascii="Times New Roman" w:hAnsi="Times New Roman"/>
          <w:b/>
          <w:sz w:val="22"/>
        </w:rPr>
        <w:t>Investing in our securities involves a high degree of risk. You should review carefully the risks and uncertainties described under the heading “</w:t>
      </w:r>
      <w:hyperlink w:anchor="toc150354_3">
        <w:r>
          <w:rPr>
            <w:rStyle w:val="InternetLink"/>
            <w:rFonts w:ascii="Times New Roman" w:hAnsi="Times New Roman"/>
            <w:b/>
            <w:sz w:val="22"/>
          </w:rPr>
          <w:t>Risk Factors</w:t>
        </w:r>
      </w:hyperlink>
      <w:r>
        <w:rPr>
          <w:rFonts w:ascii="Times New Roman" w:hAnsi="Times New Roman"/>
          <w:b/>
          <w:sz w:val="22"/>
        </w:rPr>
        <w:t xml:space="preserve">” on page 6 of this prospectus and contained in the applicable prospectus supplement and in any free writing prospectuses we have authorized for use in connection with a specific offering, and under similar headings in the documents that are incorporated by reference into this prospectus. </w:t>
      </w:r>
    </w:p>
    <w:p>
      <w:pPr>
        <w:pStyle w:val="TextBody"/>
        <w:bidi w:val="0"/>
        <w:spacing w:before="80" w:after="0"/>
        <w:ind w:left="960" w:right="960" w:hanging="0"/>
        <w:jc w:val="left"/>
        <w:rPr>
          <w:rFonts w:ascii="Times New Roman" w:hAnsi="Times New Roman"/>
          <w:b/>
          <w:sz w:val="18"/>
        </w:rPr>
      </w:pPr>
      <w:r>
        <w:rPr>
          <w:rFonts w:ascii="Times New Roman" w:hAnsi="Times New Roman"/>
          <w:b/>
          <w:sz w:val="18"/>
        </w:rPr>
        <w:t xml:space="preserve">This prospectus may not be used to consummate a sale of securities unless accompanied by a prospectus supplement. </w:t>
      </w:r>
    </w:p>
    <w:p>
      <w:pPr>
        <w:pStyle w:val="TextBody"/>
        <w:bidi w:val="0"/>
        <w:spacing w:before="80" w:after="0"/>
        <w:ind w:left="960" w:right="960" w:hanging="0"/>
        <w:jc w:val="left"/>
        <w:rPr>
          <w:rFonts w:ascii="Times New Roman" w:hAnsi="Times New Roman"/>
          <w:sz w:val="18"/>
        </w:rPr>
      </w:pPr>
      <w:r>
        <w:rPr>
          <w:rFonts w:ascii="Times New Roman" w:hAnsi="Times New Roman"/>
          <w:sz w:val="18"/>
        </w:rPr>
        <w:t xml:space="preserve">The securities may be sold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underwriters or dealers are involved in the sale of any securities with respect to which this prospectus is being delivered, the names of such agents, underwriters or dealers and any applicable fees, commissions, discounts and over-allotment options will be set forth in a prospectus supplement. The price to the public of such securities and the net proceeds we expect to receive from such sale will also be set forth in a prospectus supplement. </w:t>
      </w:r>
    </w:p>
    <w:p>
      <w:pPr>
        <w:pStyle w:val="TextBody"/>
        <w:bidi w:val="0"/>
        <w:spacing w:before="8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80" w:after="0"/>
        <w:ind w:left="960" w:right="960" w:hanging="0"/>
        <w:jc w:val="center"/>
        <w:rPr>
          <w:rFonts w:ascii="Times New Roman" w:hAnsi="Times New Roman"/>
          <w:b/>
          <w:sz w:val="18"/>
        </w:rPr>
      </w:pPr>
      <w:r>
        <w:rPr>
          <w:rFonts w:ascii="Times New Roman" w:hAnsi="Times New Roman"/>
          <w:b/>
          <w:sz w:val="18"/>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5035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2">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4">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6">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8">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9">
              <w:r>
                <w:rPr>
                  <w:rStyle w:val="InternetLink"/>
                  <w:rFonts w:ascii="Times New Roman" w:hAnsi="Times New Roman"/>
                  <w:sz w:val="20"/>
                </w:rPr>
                <w:t>LEGAL OWNERSHIP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50354_14">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5035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 utilizing a “shelf” registration process under the Securities Act. Under this shelf registration process, we may offer and sell shares of our common stock and preferred stock, various series of debt securities and/or warrants to purchase any of such securities, either individually or in combination with other securities, in one or more offerings to a total aggregate offering price of $200,000,000.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industry and market data that we have obtained from industry and general publications, third-party research, studies and surveys, filings of public companies in their respective industries and related industry and internal company surveys. These sources include government and industry sources, which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We do not know all of the assumptions regarding general economic conditions or growth that were used in preparing the forecasts from the sources relied upon or cited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Assumptions and estimates of future performance are necessarily subject to a high degree of uncertainty and risk due to a variety of factors, including those described in “Risk Factors.” These and other factors could cause future performance to differ materially from our assumptions and estimates. See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trade names and service marks appearing in this prospectus that are important to our business. This prospectus may also contain trade names, trademarks and service marks belonging to other companies that are the property of their respective owners. Solely for convenience, trademarks, trade names and service marks may appear in this prospectus without the  and ® symbols, but such references, or their failure to appear, should not be construed as any indicator that their respective owners will not assert, to the fullest extent under applicable law, their rights or the rights of the applicable licensors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150354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developing therapeutics for patients with immunological, autoimmune and inflammatory diseases. Our lead asset, IMG-007, recently named olevaprubart, is a non-depleting anti-OX40 monoclonal antibody that binds specifically to OX40 receptor on activated T cells to block receptor binding to OX40 ligand (“OX40L”). Olevaprubart is being developed to potentially treat multiple autoimmune and inflammatory diseases and disorders, with initial evaluation in atopic dermatitis (“AD”) and alopecia areata (“AA”). OX40 signaling is thought to be important in driving the pathogenesis of a spectrum of immunological, autoimmune and inflammatory diseases, including additional dermatological diseases, respiratory, gastrointestinal, and rheumatic diseases. Olevaprubart is initially being developed for the treatment of AD and AA, and we believe it has further “pipeline within a product” potential. We may explore additional indications with olevaprubart such as asthma, rheumatoid arthritis, and hidradenitis suppurativa, among others.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State of Delaware in February 2016 under the name Kyn Therapeutics, Inc. We were the successor in interest to Kyn Therapeutics L.L.C., a limited liability company formed under the laws of the State of Texas in September 2014. In December 2019, we changed our name from Kyn Therapeutics, Inc. to Ikena Oncology, Inc. (“Ikena”). On July 25, 2025 (the “Closing Date”), we consummated the merger with Inmagene Biopharmaceuticals, an exempted company with limited liability incorporated and existing under the laws of the Cayman Islands (“Legacy Inmagene”) pursuant to the terms of the Agreement and Plan of Merger, dated as of December 23, 2024 (the “Merger Agreement”), by and among Ikena, Insight Merger Sub I, an exempted company with limited liability incorporated and existing under the laws of the Cayman Islands and a direct, wholly owned subsidiary of Ikena (“Merger Sub I”), Insight Merger Sub II, an exempted company with limited liability incorporated and existing under the laws of the Cayman Islands and a direct, wholly owned subsidiary of Ikena (“Merger Sub II”), and Legacy Inmagene.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on the Closing Date, (i) Ikena effected a 1-for-12 reverse stock split of Ikena’s issued common stock (the “Reverse Stock Split”), (ii) Merger Sub I merged with and into Legacy Inmagene (the “First Merger”), with Legacy Inmagene surviving the First Merger as a wholly owned subsidiary of Ikena, (iii) immediately following the First Merger, Legacy Inmagene merged with and into Merger Sub II (the “Second Merger” and, together with the First Merger, the “Merger”), with Merger Sub II surviving the Second Merger as a wholly owned subsidiary of Ikena, and (iv) following the Second Merger, Ikena changed its name to “ImageneBio, Inc.” As of the open of trading on July 28, 2025, our common stock began trading on Nasdaq under the symbol “IMA”.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12526 High Bluff Drive, Suite 345, San Diego, CA 92130, and our telephone number is (858) 345-6265.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imagenebio.com. Textual references and the information contained on, or that can be accessed through, our website are not a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or the context otherwise requires, the references in this prospectus to the “Company,” “we,” “our,” or “us” refer to Inmagene Biopharmaceuticals together with its consolidated subsidiaries for periods prior to the Merger and to ImageneBio, Inc. together with its consolidated subsidiaries for periods following the Merger; references to “Ikena” refer to Ikena Oncology, Inc. for periods prior to the Merger; and references to “Legacy Inmagene” refer to Inmagene Biopharmaceuticals together with its consolidated subsidiaries for periods prior to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(the “JOBS Act”). We will remain an emerging growth company until December 31,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standards. This may make comparison of our financial statements with certain other public companies difficult or impossible because of the potential differences in accounting standards used.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are a “smaller reporting company” as defined in Section 12b-2 of the Securities Exchange Act of 1934, as amended (the “Exchange Act”). We may continue to take advantage of the scaled disclosures available to smaller reporting companies for so long as we remain a smaller reporting company under the rules of the Securities and Exchange Commission.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Description of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shares of our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date,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prices or rates, if any, and, if applicable, any provisions for changes to or adjustments in the conversion or exchange prices or rates and in the securities or other property receivable upon conversion or exchange;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or special U.S. federal income tax considerations,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applicable prospectus supplement and any related free writing prospectus that we may authorize to be provided to you may also add, update or change any of the information contained in this prospectus or in the documents we have incorporated by reference.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to or through agents, underwriters or dealers. If we do offer securities to or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or other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Common Stock</w:t>
      </w:r>
      <w:r>
        <w:rPr>
          <w:rFonts w:ascii="Times New Roman" w:hAnsi="Times New Roman"/>
          <w:sz w:val="20"/>
          <w:bdr w:val="single" w:sz="8" w:space="1" w:color="000000"/>
        </w:rPr>
        <w:t xml:space="preserve">. We may issue shares of our common stock and non-voting common stock, from time to time. Our certificate of incorporation, as amended, authorizes 150,000,000 shares of common stock, par value $0.001 per share, of which 8,000,000 shares are designated as non-voting common stock. Holders of our common stock and our non-voting common stock have identical rights subject to two exceptions. First, holders of our common stock are entitled to one vote per share of common stock on any matter submitted to a vote by our stockholders, while holders of our non-voting common stock are not entitled to any votes per share, including for the election of directors. Second, holders of our common stock have no conversion rights, while holders of our non-voting common stock have the right to convert each share of non-voting common stock into one share of common stock at such holder’s election, subject to a 9.99% beneficial ownership limitation (which may be adjusted upon 61 days’ notice). Holders of our common stock and our non-voting common stock are entitled to receive ratably any dividends declared by our Board out of funds legally available for that purpose, subject to any preferential dividend rights of any outstanding preferred stock. In the event of our liquidation, dissolution or winding up, holders of our common stock and our non-voting common stock will be entitled to share ratably in all assets remaining after payment of all debts and other liabilities and any liquidation preference of any outstanding preferred stock. Our common stock and non-voting common stock have no preemptive rights or other subscription rights or redemption or sinking fund provisions.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common stock being offered.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Preferred Stock.</w:t>
      </w:r>
      <w:r>
        <w:rPr>
          <w:rFonts w:ascii="Times New Roman" w:hAnsi="Times New Roman"/>
          <w:sz w:val="20"/>
          <w:bdr w:val="single" w:sz="8" w:space="1" w:color="000000"/>
        </w:rPr>
        <w:t xml:space="preserve"> We may issue shares of our preferred stock from time to time, in one or more series. Our certificate of incorporation, as amended, authorizes 10,000,000 shares of undesignated preferred stock, par value $0.001 per share. Our board of directors (the “Board”) has the authority, from time to time, without further action by our stockholders, to issue preferred stock in one or more series and to fix the rights, preferences, privileges and restrictions thereof, including dividend rights, conversion rights, voting rights, terms of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liquidation preferences, sinking fund terms and the number of shares constituting, or the designation of, such series, any or all of which may be greater than the rights of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If we sell any new series of preferred stock under this prospectus and any applicable prospectus supplement, our Board will determine the rights, preferences and privileges of the preferred stock being offered.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Debt Securities.</w:t>
      </w:r>
      <w:r>
        <w:rPr>
          <w:rFonts w:ascii="Times New Roman" w:hAnsi="Times New Roman"/>
          <w:sz w:val="20"/>
          <w:bdr w:val="single" w:sz="8" w:space="1" w:color="000000"/>
        </w:rPr>
        <w:t xml:space="preserve"> We may issue debt securities from time to time, in one or more series, as either senior or subordinated debt or as senior or subordinated convertible debt. Convertible or exchangeable debt securities will be convertible into or exchangeable for our common stock or our other securities. Conversion or exchange may be mandatory or optional (at our option or the holders’ option) and would be at prescribed conversion or exchange prices.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Warrants.</w:t>
      </w:r>
      <w:r>
        <w:rPr>
          <w:rFonts w:ascii="Times New Roman" w:hAnsi="Times New Roman"/>
          <w:sz w:val="20"/>
          <w:bdr w:val="single" w:sz="8" w:space="1" w:color="000000"/>
        </w:rPr>
        <w:t xml:space="preserve"> We may issue warrants for the purchase of common stock, preferred stock and/or debt securities in one or more series. We may issue warrants independently or in combination with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Warrants may be issued under a warrant agreement that we enter into with a warrant agent. We will indicate the name and address of the warrant agent, if any, in the applicable prospectus supplement relating to a particular series of warrants.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clinical trial and other research and development expenses, working capital and general and administrative expenses. See “Use of Proceeds”.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Nasdaq Capital Market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the Nasdaq Capital Market under the symbol “IMA.”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50354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titled “Risk Factors” contained in our most recent Annual Report on Form 10-K and any subsequent Quarterly Reports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50354_4"/>
      <w:bookmarkEnd w:id="6"/>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forward-looking statements within the meaning of Section 27A of the Securities Act, and Section 21E of the Securities Exchange Act of 1934, as amended (the “Exchange Act”),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 These forward-looking statements may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IMG-007, recently renamed olevaprubart, including as compared to our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our control and the potential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raise significant additional capital to proceed with the development and commercialization of olevaprubart and any future product candidates and to fund our continued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potential of planned or ongoing clinical trials for olevaprubart, including the timing for data readouts;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olevaprubart, including our plans to develop olevaprubart for additional immunological and inflammatory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surrounding the potential safety, efficacy, and regulatory and clinical progress of olevaprubart and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expectations regarding our current or future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olevaprubart, if approved, the rate and degree of market acceptance of olevaprubart and the favorability of pricing regulations, reimbursement practices from third-party payors or healthcare reform initiatives in the United States and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and validate new product candidates or additional indications for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planned use of cash and cash equivalents and the milestones we expect to fund with such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our cash runway, expenses, future revenues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internal controls and procedures and our plans and ability to remediate any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and plans regarding ongoing legal proceedings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benefits that may be derived from the Merger, including the commercial or market opportunity of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our industry or the market opportunities for olevaprubart or any future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political, environmental, economic and public health developments in the United States and foreign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the use of forward-looking words such as “believes,” “expects,” “hopes,” “may,” “will,” “plan,” “intends,” “estimates,” “could,” “should,” “would,” “continue,” “seeks,” “pro forma,” or “anticipates,” or other similar words (including their use in the negative), or by discussions of future matters such as the development of new products, technology enhancements, possible collaborations, possible changes in legislation and other statements that are not historical. These statements include but are not limited to statements under the captions “Business,” “Risk Factors” and “Management’s Discussion and Analysis of Financial Condition and Results of Operations” and in other sections incorporated by reference from our Annual Report on Form 10-K, Quarterly Reports on Form 10-Q and Current Reports on Form 8-K, as applicable, as well as our other filings with the SEC. You should be aware that the occurrence of any of the events discussed under the heading “Risk Factors” in any applicable prospectus supplement and any documents incorporated by reference herein or therein could substantially harm our business, operating results and financial condition and that if any of these events occurs, it could adversely affect the value of an investment in our securities. In addition, statements that “we believe” and similar statements reflect our beliefs and opinions on the relevant subject. These statements are based upon information available to us as of the date the statement was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cautionary statements made in this prospectus are intended to be applicable to all related forward-looking statements wherever they may appear in this prospectus or in any prospectus supplement or any documents incorporated by reference herein or therein. We urge you not to place undue reliance on these forward-looking statements, which speak only as of the date they are made. Except as required by law, we assume no obligation to update our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5035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Unless otherwise indicated in any prospectus supplement, we intend to use the net proceeds from the sale of the securities under this prospectus for general corporate purposes, which may include clinical trial and other research and development expenses, working capital and general and administrative expenses.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50354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our certificate of incorporation, as amended, authorizes us to issue 150,000,000 shares of common stock, par value $0.001 per share, including 8,000,000 shares of non-voting common stock, par value $0.001 per share and 10,000,000 shares of undesignated preferred stock, par value $0.001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and provisions of our amended and restated certificate of incorporation, as amended, or the amended and restated certificate of incorporation, and amended and restated bylaws are summaries and are qualified by reference to such amended and restated certificate of incorporation and amended and restated bylaws and applicable provisions of the General Corporation Law of the State of Delaware (the “DGCL”). For information on how to obtain copies of our certificate of incorporation, as amended, and amended and restated bylaws,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and our non-voting common stock have identical rights subject to two exceptions. First,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Second, holders of our common stock have no conversion rights, while holders of our non-voting common stock shall have the right to convert each share of our non-voting common stock into one share of common stock at such holder’s election. Provided that, as a result of such conversion, such holder, together with its affiliates and any members of a Schedule 13D group with such holder (such “group”, as described under the Securities Exchange Act of 1934, as amended), would not beneficially own in excess of 9.99% of our common stock immediately prior to and following such conversion, unless otherwise expressly provided for in our amended and restated certificate of incorporation. However, this ownership limitation may be increased or decreased to any other percentage designated by such holder of our non-voting common stock upon 61 days’ notice to us.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The affirmative vote of holders of at least two-thirds (2/3)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and actions by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stock and our non-voting common stock are entitled to receive ratably any dividends declared by our Board out of funds legally available for that purpose, subject to any preferential dividend rights of any outstanding preferred stock. Common stock and non-voting common stock have no preemptive rights or other subscription rights or redemption or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and our non-voting common stock will be entitled to share ratably in all assets remaining after payment of all debts and other liabilities and any liquidation preference of any outstanding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authority, from time to time,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constituting, or the designation of, such series, any or all of which may be greater than the rights of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of the Company or other corporate action.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Certificate of Incorporation, our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include a number of provisions that may have the effect of delaying, deferring or preventing another party from acquiring control of us and encouraging persons considering unsolicited tender offers or other unilateral takeover proposals to negotiate with our Board rather than pursue non-negotiated takeover attempts.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our common stock is Computershare, Inc. The transfer agent and registrar’s address is 150 Royall Street, Suite 101,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the Nasdaq Capital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“IMA.”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50354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50354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material or special U.S. federal income tax considerations, if any,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any warrant agreements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50354_9"/>
      <w:bookmarkEnd w:id="11"/>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third-party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in the form of a global security,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a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a global security, nor do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a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institutions that participate in the depositary’s book-entry system, and through which an investor holds its interest in a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the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50354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 under the Securities Act. Such offering may be made into an existing trading market for such securities in transactions at other than a fixed price,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The Nasdaq Capital Market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 than on The Nasdaq Capital Market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at-the-market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agents or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Capital Market may engage in passive market making transactions in the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50354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will pass upon certain legal matters in connection with the offering and the validity of the securities offered by this prospectus, and any supplement thereto, unless otherwise indicated in the applicable prospectus supplement. </w:t>
      </w:r>
    </w:p>
    <w:p>
      <w:pPr>
        <w:pStyle w:val="TextBody"/>
        <w:bidi w:val="0"/>
        <w:spacing w:before="480" w:after="0"/>
        <w:jc w:val="center"/>
        <w:rPr>
          <w:rFonts w:ascii="Times New Roman" w:hAnsi="Times New Roman"/>
          <w:b/>
          <w:sz w:val="20"/>
        </w:rPr>
      </w:pPr>
      <w:bookmarkStart w:id="14" w:name="toc150354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the Company not generating any revenue from product sales and incurring operating losses and negative cash flows from operations since inception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5" w:name="toc150354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the exhibits and schedules filed as a part of the registration statement, and the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we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imagenebio.com/investors,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 The website addresses for the SEC and us are inactive textual references and except as specifically incorporated by reference into this prospectus, information on, or accessible through, those websites are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the Company, please send a request in writing or by telephone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ImageneBio, Inc. </w:t>
      </w:r>
    </w:p>
    <w:p>
      <w:pPr>
        <w:pStyle w:val="TextBody"/>
        <w:bidi w:val="0"/>
        <w:spacing w:before="0" w:after="0"/>
        <w:jc w:val="center"/>
        <w:rPr>
          <w:rFonts w:ascii="Times New Roman" w:hAnsi="Times New Roman"/>
          <w:sz w:val="20"/>
        </w:rPr>
      </w:pPr>
      <w:r>
        <w:rPr>
          <w:rFonts w:ascii="Times New Roman" w:hAnsi="Times New Roman"/>
          <w:sz w:val="20"/>
        </w:rPr>
        <w:t xml:space="preserve">12526 High Bluff Drive, Suite 345 </w:t>
      </w:r>
    </w:p>
    <w:p>
      <w:pPr>
        <w:pStyle w:val="TextBody"/>
        <w:bidi w:val="0"/>
        <w:spacing w:before="0" w:after="0"/>
        <w:jc w:val="center"/>
        <w:rPr>
          <w:rFonts w:ascii="Times New Roman" w:hAnsi="Times New Roman"/>
          <w:sz w:val="20"/>
        </w:rPr>
      </w:pPr>
      <w:r>
        <w:rPr>
          <w:rFonts w:ascii="Times New Roman" w:hAnsi="Times New Roman"/>
          <w:sz w:val="20"/>
        </w:rPr>
        <w:t xml:space="preserve">San Diego, CA 92130 </w:t>
      </w:r>
    </w:p>
    <w:p>
      <w:pPr>
        <w:pStyle w:val="TextBody"/>
        <w:bidi w:val="0"/>
        <w:spacing w:before="0" w:after="0"/>
        <w:jc w:val="center"/>
        <w:rPr>
          <w:rFonts w:ascii="Times New Roman" w:hAnsi="Times New Roman"/>
          <w:sz w:val="20"/>
        </w:rPr>
      </w:pPr>
      <w:r>
        <w:rPr>
          <w:rFonts w:ascii="Times New Roman" w:hAnsi="Times New Roman"/>
          <w:sz w:val="20"/>
        </w:rPr>
        <w:t xml:space="preserve">(858) 345-6265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50354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all offerings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3">
              <w:r>
                <w:rPr>
                  <w:rStyle w:val="InternetLink"/>
                  <w:rFonts w:ascii="Times New Roman" w:hAnsi="Times New Roman"/>
                  <w:sz w:val="20"/>
                </w:rPr>
                <w:t>March 10, 2026</w:t>
              </w:r>
            </w:hyperlink>
            <w:r>
              <w:rPr>
                <w:rFonts w:ascii="Times New Roman" w:hAnsi="Times New Roman"/>
                <w:sz w:val="20"/>
              </w:rPr>
              <w:t xml:space="preserve">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2025 Annual Report from our definitive proxy statement on Schedule 14A, filed with the SEC on </w:t>
            </w:r>
            <w:hyperlink r:id="rId4">
              <w:r>
                <w:rPr>
                  <w:rStyle w:val="InternetLink"/>
                  <w:rFonts w:ascii="Times New Roman" w:hAnsi="Times New Roman"/>
                  <w:sz w:val="20"/>
                </w:rPr>
                <w:t>April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7, 2026</w:t>
              </w:r>
            </w:hyperlink>
            <w:r>
              <w:rPr>
                <w:rFonts w:ascii="Times New Roman" w:hAnsi="Times New Roman"/>
                <w:sz w:val="20"/>
              </w:rPr>
              <w:t xml:space="preserve"> and </w:t>
            </w:r>
            <w:hyperlink r:id="rId6">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17, 2026</w:t>
              </w:r>
            </w:hyperlink>
            <w:r>
              <w:rPr>
                <w:rFonts w:ascii="Times New Roman" w:hAnsi="Times New Roman"/>
                <w:sz w:val="20"/>
              </w:rPr>
              <w:t xml:space="preserve">, </w:t>
            </w:r>
            <w:hyperlink r:id="rId8">
              <w:r>
                <w:rPr>
                  <w:rStyle w:val="InternetLink"/>
                  <w:rFonts w:ascii="Times New Roman" w:hAnsi="Times New Roman"/>
                  <w:sz w:val="20"/>
                </w:rPr>
                <w:t>March  17, 2026</w:t>
              </w:r>
            </w:hyperlink>
            <w:r>
              <w:rPr>
                <w:rFonts w:ascii="Times New Roman" w:hAnsi="Times New Roman"/>
                <w:sz w:val="20"/>
              </w:rPr>
              <w:t xml:space="preserve">, </w:t>
            </w:r>
            <w:hyperlink r:id="rId9">
              <w:r>
                <w:rPr>
                  <w:rStyle w:val="InternetLink"/>
                  <w:rFonts w:ascii="Times New Roman" w:hAnsi="Times New Roman"/>
                  <w:sz w:val="20"/>
                </w:rPr>
                <w:t>April  13,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w:t>
            </w:r>
            <w:hyperlink r:id="rId11">
              <w:r>
                <w:rPr>
                  <w:rStyle w:val="InternetLink"/>
                  <w:rFonts w:ascii="Times New Roman" w:hAnsi="Times New Roman"/>
                  <w:sz w:val="20"/>
                </w:rPr>
                <w:t>June  26, 2026</w:t>
              </w:r>
            </w:hyperlink>
            <w:r>
              <w:rPr>
                <w:rFonts w:ascii="Times New Roman" w:hAnsi="Times New Roman"/>
                <w:sz w:val="20"/>
              </w:rPr>
              <w:t xml:space="preserve"> and </w:t>
            </w:r>
            <w:hyperlink r:id="rId12">
              <w:r>
                <w:rPr>
                  <w:rStyle w:val="InternetLink"/>
                  <w:rFonts w:ascii="Times New Roman" w:hAnsi="Times New Roman"/>
                  <w:sz w:val="20"/>
                </w:rPr>
                <w:t>July 23,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filed as </w:t>
            </w:r>
            <w:hyperlink r:id="rId13">
              <w:r>
                <w:rPr>
                  <w:rStyle w:val="InternetLink"/>
                  <w:rFonts w:ascii="Times New Roman" w:hAnsi="Times New Roman"/>
                  <w:sz w:val="20"/>
                </w:rPr>
                <w:t>Exhibit 4.4</w:t>
              </w:r>
            </w:hyperlink>
            <w:r>
              <w:rPr>
                <w:rFonts w:ascii="Times New Roman" w:hAnsi="Times New Roman"/>
                <w:sz w:val="20"/>
              </w:rPr>
              <w:t xml:space="preserve"> to the 2025 Annual Report,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ImageneBio, Inc., 12526 High Bluff Drive, Suite 345, San Diego, CA 92130 (858) 345-6265, Attn: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9"/>
        </w:rPr>
      </w:pPr>
      <w:r>
        <w:rPr>
          <w:rFonts w:ascii="Times New Roman" w:hAnsi="Times New Roman"/>
          <w:b/>
          <w:color w:val="FF4338"/>
          <w:sz w:val="19"/>
        </w:rPr>
        <w:t xml:space="preserve">SUBJECT TO COMPLETION, DATED AUGUST 5, 2026 </w:t>
      </w:r>
    </w:p>
    <w:p>
      <w:pPr>
        <w:pStyle w:val="TextBody"/>
        <w:bidi w:val="0"/>
        <w:spacing w:before="240" w:after="0"/>
        <w:ind w:left="960" w:right="960" w:hanging="0"/>
        <w:jc w:val="left"/>
        <w:rPr>
          <w:rFonts w:ascii="Times New Roman" w:hAnsi="Times New Roman"/>
          <w:b/>
          <w:sz w:val="19"/>
        </w:rPr>
      </w:pPr>
      <w:r>
        <w:rPr>
          <w:rFonts w:ascii="Times New Roman" w:hAnsi="Times New Roman"/>
          <w:b/>
          <w:sz w:val="19"/>
        </w:rPr>
        <w:t xml:space="preserve">PROSPECTUS </w:t>
      </w:r>
    </w:p>
    <w:p>
      <w:pPr>
        <w:pStyle w:val="TextBody"/>
        <w:bidi w:val="0"/>
        <w:spacing w:before="120" w:after="0"/>
        <w:ind w:left="960" w:right="960" w:hanging="0"/>
        <w:jc w:val="center"/>
        <w:rPr>
          <w:rFonts w:ascii="Times New Roman" w:hAnsi="Times New Roman"/>
          <w:b/>
          <w:sz w:val="36"/>
        </w:rPr>
      </w:pPr>
      <w:r>
        <w:rPr>
          <w:rFonts w:ascii="Times New Roman" w:hAnsi="Times New Roman"/>
          <w:b/>
          <w:sz w:val="36"/>
        </w:rPr>
        <w:t xml:space="preserve">Up to $17,000,000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241675" cy="11766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3241675" cy="1176655"/>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9"/>
        </w:rPr>
      </w:pPr>
      <w:r>
        <w:rPr>
          <w:rFonts w:ascii="Times New Roman" w:hAnsi="Times New Roman"/>
          <w:sz w:val="19"/>
        </w:rPr>
        <w:t xml:space="preserve">We have entered into an Open Market Sale AgreementSM (the “sales agreement”) with Jefferies LLC (“Jefferies”), relating to the sale of shares of our voting common stock (the “common stock”) offered by this prospectus. In accordance with the terms of the sales agreement, we may offer and sell shares of our common stock, $0.001 par value per share, from time to time having an aggregate offering price of up to $17.0 million under this prospectus through Jefferies, acting as our sales agent. </w:t>
      </w:r>
    </w:p>
    <w:p>
      <w:pPr>
        <w:pStyle w:val="TextBody"/>
        <w:bidi w:val="0"/>
        <w:spacing w:before="120" w:after="0"/>
        <w:ind w:left="960" w:right="960" w:hanging="0"/>
        <w:jc w:val="left"/>
        <w:rPr>
          <w:rFonts w:ascii="Times New Roman" w:hAnsi="Times New Roman"/>
          <w:sz w:val="19"/>
        </w:rPr>
      </w:pPr>
      <w:r>
        <w:rPr>
          <w:rFonts w:ascii="Times New Roman" w:hAnsi="Times New Roman"/>
          <w:sz w:val="19"/>
        </w:rPr>
        <w:t xml:space="preserve">Our common stock is traded on The Nasdaq Capital Market under the symbol “IMA.” On August 4, 2026, the last reported sale price of our common stock was $5.71 per share. </w:t>
      </w:r>
    </w:p>
    <w:p>
      <w:pPr>
        <w:pStyle w:val="TextBody"/>
        <w:bidi w:val="0"/>
        <w:spacing w:before="120" w:after="0"/>
        <w:ind w:left="960" w:right="960" w:hanging="0"/>
        <w:jc w:val="left"/>
        <w:rPr>
          <w:rFonts w:ascii="Times New Roman" w:hAnsi="Times New Roman"/>
          <w:sz w:val="19"/>
        </w:rPr>
      </w:pPr>
      <w:r>
        <w:rPr>
          <w:rFonts w:ascii="Times New Roman" w:hAnsi="Times New Roman"/>
          <w:sz w:val="19"/>
        </w:rPr>
        <w:t xml:space="preserve">As of August 4, 2026, the aggregate market value of our common stock held by our non-affiliates, as calculated pursuant to the rules of the Securities and Exchange Commission, was approximately $51.1 million, based upon 8,370,413 shares of our outstanding common stock held by non-affiliates at the per share price of $6.11, the closing sale price of our common stock on Nasdaq on July 13, 2026. We have not offered any securities pursuant to General Instruction I.B.6 of Form S-3 during the prior 12-calendar month period that ends on and includes the date of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 </w:t>
      </w:r>
    </w:p>
    <w:p>
      <w:pPr>
        <w:pStyle w:val="TextBody"/>
        <w:bidi w:val="0"/>
        <w:spacing w:before="120" w:after="0"/>
        <w:ind w:left="960" w:right="960" w:hanging="0"/>
        <w:jc w:val="left"/>
        <w:rPr>
          <w:rFonts w:ascii="Times New Roman" w:hAnsi="Times New Roman"/>
          <w:sz w:val="19"/>
        </w:rPr>
      </w:pPr>
      <w:r>
        <w:rPr>
          <w:rFonts w:ascii="Times New Roman" w:hAnsi="Times New Roman"/>
          <w:sz w:val="19"/>
        </w:rPr>
        <w:t xml:space="preserve">We are an “emerging growth company” and a “smaller reporting company” as defined under the federal securities laws, and, as such, may elect to comply with certain reduced public company reporting requirements for future filings. See “Prospectus Summary—Implications of Being an Emerging Growth Company and Smaller Reporting Company.” </w:t>
      </w:r>
    </w:p>
    <w:p>
      <w:pPr>
        <w:pStyle w:val="TextBody"/>
        <w:bidi w:val="0"/>
        <w:spacing w:before="120" w:after="0"/>
        <w:ind w:left="960" w:right="960" w:hanging="0"/>
        <w:jc w:val="left"/>
        <w:rPr>
          <w:rFonts w:ascii="Times New Roman" w:hAnsi="Times New Roman"/>
          <w:sz w:val="19"/>
        </w:rPr>
      </w:pPr>
      <w:r>
        <w:rPr>
          <w:rFonts w:ascii="Times New Roman" w:hAnsi="Times New Roman"/>
          <w:sz w:val="19"/>
        </w:rPr>
        <w:t xml:space="preserve">Sales of shares of our common stock, if any, under this prospectus may be made in sales deemed to be an “at the market offering” as defined in Rule 415(a)(4) promulgated under the Securities Act of 1933, as amended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 </w:t>
      </w:r>
    </w:p>
    <w:p>
      <w:pPr>
        <w:pStyle w:val="TextBody"/>
        <w:bidi w:val="0"/>
        <w:spacing w:before="120" w:after="0"/>
        <w:ind w:left="960" w:right="960" w:hanging="0"/>
        <w:jc w:val="left"/>
        <w:rPr>
          <w:rFonts w:ascii="Times New Roman" w:hAnsi="Times New Roman"/>
          <w:sz w:val="19"/>
        </w:rPr>
      </w:pPr>
      <w:r>
        <w:rPr>
          <w:rFonts w:ascii="Times New Roman" w:hAnsi="Times New Roman"/>
          <w:sz w:val="19"/>
        </w:rPr>
        <w:t xml:space="preserve">Jefferies will be entitled to compensation under the terms of the sales agreement at a fixed commission rate of up to 3.0% of the gross sales price per share sold under the sales agreement. See “Plan of Distribution” on page S-12 for additional information regarding Jefferies’ compensation. In connection with the sale of common stock on our behalf, Jefferies will be deemed to be an “underwriter” within the meaning of the Securities Act and the compensation of Jefferies will be deemed to be underwriting commissions or discounts. We have also agreed to provide indemnification to Jefferies against certain liabilities, including liabilities under the Securities Act or the Securities Exchange Act of 1934, as amended (the “Exchange Act”). See section titled “Plan of Distribution” on page S-12 of this prospectus. </w:t>
      </w:r>
    </w:p>
    <w:p>
      <w:pPr>
        <w:pStyle w:val="TextBody"/>
        <w:bidi w:val="0"/>
        <w:spacing w:before="120" w:after="0"/>
        <w:ind w:left="960" w:right="960" w:hanging="0"/>
        <w:jc w:val="left"/>
        <w:rPr/>
      </w:pPr>
      <w:r>
        <w:rPr>
          <w:rFonts w:ascii="Times New Roman" w:hAnsi="Times New Roman"/>
          <w:b/>
          <w:sz w:val="22"/>
        </w:rPr>
        <w:t>Investing in our securities involves a high degree of risk. See “</w:t>
      </w:r>
      <w:hyperlink w:anchor="toca150354_4">
        <w:r>
          <w:rPr>
            <w:rStyle w:val="InternetLink"/>
            <w:rFonts w:ascii="Times New Roman" w:hAnsi="Times New Roman"/>
            <w:b/>
            <w:sz w:val="22"/>
          </w:rPr>
          <w:t>Risk Factors</w:t>
        </w:r>
      </w:hyperlink>
      <w:r>
        <w:rPr>
          <w:rFonts w:ascii="Times New Roman" w:hAnsi="Times New Roman"/>
          <w:b/>
          <w:sz w:val="22"/>
        </w:rPr>
        <w:t xml:space="preserve">” beginning on page S-5 of this prospectus and under similar headings in the other documents that are incorporated by reference into this prospectus. </w:t>
      </w:r>
    </w:p>
    <w:p>
      <w:pPr>
        <w:pStyle w:val="TextBody"/>
        <w:bidi w:val="0"/>
        <w:spacing w:before="120" w:after="0"/>
        <w:ind w:left="960" w:right="960" w:hanging="0"/>
        <w:jc w:val="left"/>
        <w:rPr>
          <w:rFonts w:ascii="Times New Roman" w:hAnsi="Times New Roman"/>
          <w:b/>
          <w:sz w:val="19"/>
        </w:rPr>
      </w:pPr>
      <w:r>
        <w:rPr>
          <w:rFonts w:ascii="Times New Roman" w:hAnsi="Times New Roman"/>
          <w:b/>
          <w:sz w:val="19"/>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Jefferies </w:t>
      </w:r>
    </w:p>
    <w:p>
      <w:pPr>
        <w:pStyle w:val="TextBody"/>
        <w:bidi w:val="0"/>
        <w:spacing w:before="120" w:after="0"/>
        <w:ind w:left="960" w:right="960" w:hanging="0"/>
        <w:jc w:val="center"/>
        <w:rPr>
          <w:rFonts w:ascii="Times New Roman" w:hAnsi="Times New Roman"/>
          <w:b/>
          <w:sz w:val="19"/>
        </w:rPr>
      </w:pPr>
      <w:r>
        <w:rPr>
          <w:rFonts w:ascii="Times New Roman" w:hAnsi="Times New Roman"/>
          <w:b/>
          <w:sz w:val="19"/>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oca150354_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2">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5">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a150354_12">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a150354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on Form S-3 with the U.S. Securities and Exchange Commission (the “SEC”), using a “shelf” registration process. Under this prospectus, we may from time to time sell shares of our common stock having an aggregate offering price of up to $17.0 million from time to time, through Jefferies acting as our sales agent, at prices and on terms to be determined by market conditions at the time of the offering. Before buying any of the common stock that we are offering, we urge you to carefully read this prospectus, together with the information incorporated by reference as described under the headings “Where You Can Find More Information” and “Incorporation of Certain Information by Reference” in this prospectus.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herein or therein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Jefferies has not, authorized anyone to provide you with information different than or inconsistent with the information contained in or incorporated by reference into this prospectus or in any free writing prospectus that we have authorized for use in connection with this offering. We and Jefferies take no responsibility for, and can provide no assurance as to the reliability of, any other information that others may give you. We are not, and Jefferies is not, making an offer to sell these securities in any jurisdiction where the offer or sale is not permitted. You should assume that the information appearing in this prospectus and the documents incorporated by reference into this prospectus and in any free writing prospectus that we have authorized for use in connection with this offering, is accurate only as of the date of those respective documents, regardless of the time of delivery of those respective documents or any sale of our common stock. Our business, financial condition, results of operations and prospects may have changed since those dates. You should read this prospectus, the documents incorporated by reference into this prospectus, and any free writing prospectus that we have authorized for use in connection with this offering, in their entirety before making an investment decision. You should also read and consider the information in the documents to which we have referred you to in the section of this prospectus entitled “Incorporation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toca150354_2"/>
      <w:bookmarkEnd w:id="18"/>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this entire prospectus, including the information incorporated by reference into this prospectus, and the information included in any free writing prospectus that we have authorized for use in connection with this offering, including the information referred to under the heading “Risk Factors” in this prospectus, our financial statements and the related notes and other information incorporated by reference into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developing therapeutics for patients with immunological, autoimmune and inflammatory diseases. Our lead asset, IMG-007, recently named olevaprubart, is a non-depleting anti-OX40 monoclonal antibody that binds specifically to OX40 receptor on activated T cells to block receptor binding to OX40 ligand (“OX40L”). Olevaprubart is being developed to potentially treat multiple autoimmune and inflammatory diseases and disorders, with initial evaluation in atopic dermatitis (“AD”) and alopecia areata (“AA”). OX40 signaling is thought to be important in driving the pathogenesis of a spectrum of immunological, autoimmune and inflammatory diseases, including additional dermatological diseases, respiratory, gastrointestinal, and rheumatic diseases. Olevaprubart is initially being developed for the treatment of AD and AA, and we believe it has further “pipeline within a product” potential. We may explore additional indications with olevaprubart such as asthma, rheumatoid arthritis, and hidradenitis suppurativa, among others.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State of Delaware in February 2016 under the name Kyn Therapeutics, Inc. We were the successor in interest to Kyn Therapeutics L.L.C., a limited liability company formed under the laws of the State of Texas in September 2014. In December 2019, we changed our name from Kyn Therapeutics, Inc. to Ikena Oncology, Inc. (“Ikena”). On July 25, 2025 (the “Closing Date”), we consummated the merger with Inmagene Biopharmaceuticals, an exempted company with limited liability incorporated and existing under the laws of the Cayman Islands (“Legacy Inmagene”) pursuant to the terms of the Agreement and Plan of Merger, dated as of December 23, 2024 (the “Merger Agreement”), by and among Ikena, Insight Merger Sub I, an exempted company with limited liability incorporated and existing under the laws of the Cayman Islands and a direct, wholly owned subsidiary of Ikena (“Merger Sub I”), Insight Merger Sub II, an exempted company with limited liability incorporated and existing under the laws of the Cayman Islands and a direct, wholly owned subsidiary of Ikena (“Merger Sub II”), and Legacy Inmagene.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on the Closing Date, (i) Ikena effected a 1-for-12 reverse stock split of Ikena’s issued common stock (the “Reverse Stock Split”), (ii) Merger Sub I merged with and into Legacy Inmagene (the “First Merger”), with Legacy Inmagene surviving the First Merger as a wholly owned subsidiary of Ikena, (iii) immediately following the First Merger, Legacy Inmagene merged with and into Merger Sub II (the “Second Merger” and, together with the First Merger, the “Merger”), with Merger Sub II surviving the Second Merger as a wholly owned subsidiary of Ikena, and (iv) following the Second Merger, Ikena changed its name to “ImageneBio, Inc.” As of the open of trading on July 28, 2025, our common stock began trading on Nasdaq under the symbol “IMA”.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12526 High Bluff Drive, Suite 345, San Diego, CA 92130, and our telephone number is (858) 345-6265.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imagenebio.com. Textual references and the information contained on, or that can be accessed through, our website are not a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or the context otherwise requires, the references in this prospectus to the “Company,” “we,” “our,” or “us” refer to Inmagene Biopharmaceuticals together with its consolidated subsidiaries for periods prior to the Merger and to ImageneBio, Inc. together with its consolidated subsidiaries for periods following the Merger; references to “Ikena” refer to Ikena Oncology, Inc. for periods prior to the Merger; and references to “Legacy Inmagene” refer to Inmagene Biopharmaceuticals together with its consolidated subsidiaries for periods prior to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(the “JOBS Act”). We will remain an emerging growth company until December 31,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standards. This may make comparison of our financial statements with certain other public companies difficult or impossible because of the potential differences in accounting standards used.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are a “smaller reporting company” as defined in Section 12b-2 of the Securities Exchange Act of 1934, as amended (the “Exchange Act”). We may continue to take advantage of the scaled disclosures available to smaller reporting companies for so long as we remain a smaller reporting company under the rules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toca150354_3"/>
      <w:bookmarkEnd w:id="19"/>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9" w:type="dxa"/>
            <w:tcBorders/>
          </w:tcPr>
          <w:p>
            <w:pPr>
              <w:pStyle w:val="TableContents"/>
              <w:bidi w:val="0"/>
              <w:spacing w:before="0" w:after="283"/>
              <w:jc w:val="left"/>
              <w:rPr/>
            </w:pPr>
            <w:r>
              <w:rPr/>
              <w:t xml:space="preserve">Shares of our common stock having an aggregate offering price of up to $17.0 million, or up to 2,977,232 shares of common stock in this offering, assuming sales at an offering price of $5.71 per share, which was the last reported sale price of our common stock on The Nasdaq Capital Market on August 4,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to be Outstanding After this Offering </w:t>
            </w:r>
          </w:p>
        </w:tc>
        <w:tc>
          <w:tcPr>
            <w:tcW w:w="6329" w:type="dxa"/>
            <w:tcBorders/>
          </w:tcPr>
          <w:p>
            <w:pPr>
              <w:pStyle w:val="TableContents"/>
              <w:bidi w:val="0"/>
              <w:spacing w:before="0" w:after="283"/>
              <w:jc w:val="left"/>
              <w:rPr/>
            </w:pPr>
            <w:r>
              <w:rPr/>
              <w:t xml:space="preserve">Up to 14,256,362 shares of our common stock, assuming sales of 2,977,232 shares of our common stock in this offering at an offering price of $5.71 per share, which was the last reported sale price of our common stock on The Nasdaq Capital Market on August 4, 2026. The actual number of shares of common stock issued will vary depending on how many shares of our common stock we choose to sell and the prices at which such sales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Plan of Distribution </w:t>
            </w:r>
          </w:p>
        </w:tc>
        <w:tc>
          <w:tcPr>
            <w:tcW w:w="6328" w:type="dxa"/>
            <w:tcBorders/>
          </w:tcPr>
          <w:p>
            <w:pPr>
              <w:pStyle w:val="TableContents"/>
              <w:bidi w:val="0"/>
              <w:spacing w:before="0" w:after="283"/>
              <w:jc w:val="left"/>
              <w:rPr/>
            </w:pPr>
            <w:r>
              <w:rPr/>
              <w:t>“</w:t>
            </w:r>
            <w:r>
              <w:rPr/>
              <w:t xml:space="preserve">At the market offering” as defined in Rule 415(a)(4) under the Securities Act that may be made from time to time through our sales agent, Jefferies. See “Plan of Distribution” on page S-12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30" w:type="dxa"/>
            <w:tcBorders/>
          </w:tcPr>
          <w:p>
            <w:pPr>
              <w:pStyle w:val="TableContents"/>
              <w:bidi w:val="0"/>
              <w:spacing w:before="0" w:after="283"/>
              <w:jc w:val="left"/>
              <w:rPr/>
            </w:pPr>
            <w:r>
              <w:rPr/>
              <w:t xml:space="preserve">We currently intend to use any net proceeds from this offering for general corporate purposes, which may include clinical trial and other research and development expenses, working capital and general and administrative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Investing in our common stock involves significant risks. Please read the information contained in and incorporated by reference under the heading “Risk Factors” beginning on page S-5 of this prospectus and under similar headings in the other documents that are filed after the date hereof and incorporated by reference into this prospectus, together with the other information included in or incorporated by reference into this prospectus,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Nasdaq Capital Market Symbol </w:t>
            </w:r>
          </w:p>
        </w:tc>
        <w:tc>
          <w:tcPr>
            <w:tcW w:w="6328" w:type="dxa"/>
            <w:tcBorders/>
          </w:tcPr>
          <w:p>
            <w:pPr>
              <w:pStyle w:val="TableContents"/>
              <w:bidi w:val="0"/>
              <w:spacing w:before="0" w:after="283"/>
              <w:jc w:val="left"/>
              <w:rPr/>
            </w:pPr>
            <w:r>
              <w:rPr/>
              <w:t>“</w:t>
            </w:r>
            <w:r>
              <w:rPr/>
              <w:t xml:space="preserve">IMA”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11,279,130 shares of our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1,247,315 shares of common stock issuable upon the exercise of stock options outstanding as of June 30, 2026, having a weighted-average exercise price of $9.82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652,517 shares of common stock reserved for issuance upon the vesting of restricted stock units outstanding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1,580,113 shares of common stock reserved for future issuance under our 2025 Equity Incentive Plan, as amended (the “2025 Plan”), as of June 30, 2026, and any automatic future increases in the number of shares of common stock reserved for issuance under such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223,632 shares of common stock reserved for future issuance under our 2025 Employee Stock Purchase Plan (the “ESPP”) as of June 30, 2026, and any automatic future increases in the number of shares of common stock reserved for issuance under such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918,558 shares of common stock reserved for future issuance under our 2025 Inducement Plan (the “Inducement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5,770,335 shares of common stock reserved for issuance upon exercise of outstanding pre-funded warrants to purchase shares of our common stock, having an exercise price of $0.001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a150354_4"/>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a high degree of risk. Before deciding whether to invest in our common stock, you should consider carefully the risks and uncertainties described below and under the heading “Risk Factors” contained in our most recent Annual Report on Form 10-K and any subsequent Quarterly Reports on Form 10-Q, which are incorporated by reference into this prospectus in their entirety, as updated or superseded by the risks and uncertainties described under similar headings in the other documents that are filed after the date hereof and incorporated by reference into this prospectus, together with the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seriously harmed. This could cause the trading price of our common stock to decline, resulting in a loss of all or part of your investment. Please also read carefully the section below titled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This Offering </w:t>
      </w:r>
    </w:p>
    <w:p>
      <w:pPr>
        <w:pStyle w:val="TextBody"/>
        <w:bidi w:val="0"/>
        <w:spacing w:before="120" w:after="0"/>
        <w:jc w:val="left"/>
        <w:rPr>
          <w:rFonts w:ascii="Times New Roman" w:hAnsi="Times New Roman"/>
          <w:sz w:val="20"/>
        </w:rPr>
      </w:pPr>
      <w:r>
        <w:rPr>
          <w:rFonts w:ascii="Times New Roman" w:hAnsi="Times New Roman"/>
          <w:b/>
          <w:i/>
          <w:sz w:val="20"/>
        </w:rPr>
        <w:t>Management will have broad discretion as to the use of the proceeds from this offering, and may not use the proceeds effectively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Because we have not designated the amount of net proceeds from this offering to be used for any particular purpose, our management will have broad discretion as to the application of any net proceeds from this offering and could use them for purposes other than those contemplated at the time of the offering. You will not have the opportunity, as part of your investment decision, to assess whether the proceeds are being used effectively. Our management may use any net proceeds for corporate purposes that may not improve our financial condition or market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a price in excess of our net tangible book value per share of common stock outstanding prior to this offering will experience immediate dilution representing the difference between the amount per share paid by such investors and our as adjusted net tangible book value per share of our common stock immediately after giving effect to this offering, and such dilution may be substantial. The exercise of outstanding stock options or pre-funded warrants or vesting of restricted stock units may result in further dilution of your investment. </w:t>
      </w:r>
    </w:p>
    <w:p>
      <w:pPr>
        <w:pStyle w:val="TextBody"/>
        <w:bidi w:val="0"/>
        <w:spacing w:before="360" w:after="0"/>
        <w:jc w:val="left"/>
        <w:rPr>
          <w:rFonts w:ascii="Times New Roman" w:hAnsi="Times New Roman"/>
          <w:sz w:val="20"/>
        </w:rPr>
      </w:pPr>
      <w:r>
        <w:rPr>
          <w:rFonts w:ascii="Times New Roman" w:hAnsi="Times New Roman"/>
          <w:b/>
          <w:i/>
          <w:sz w:val="20"/>
        </w:rPr>
        <w:t>The actual number of shares we will issue under the sales agreement in this offering, at any one time or in total, is uncertain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Jefferies at any time throughout the term of the offering under this prospectus. The number of shares that are sold by Jefferies after delivering a placement notice will fluctuate based on the market price of the shares of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expect to in the future offer additional shares of common stock or other securities convertible into or exchangeable for our shares of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common stock or other securities convertible into or exchangeable for our shares of common stock in future transactions may be higher or lower than the price per share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a150354_5"/>
      <w:bookmarkEnd w:id="21"/>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 forward-looking statements within the meaning of Section 27A of the Securities Act, and Section 21E of the Securities Exchange Act of 1934, as amended (the “Exchange Act”), that involve a number of risks and uncertainties. Although our forward-looking statements reflect the good faith judgment of our management, these statements can only be based on facts and factors currently known by us. Consequently, these forward-looking statements are inherently subject to risks and uncertainties, and actual results and outcomes may differ materially from results and outcomes discussed in the forward-looking statements. These forward-looking statements may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IMG-007, recently renamed olevaprubart, including as compared to our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our control and the potential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raise significant additional capital to proceed with the development and commercialization of olevaprubart and any future product candidates and to fund our continued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potential of planned or ongoing clinical trials for olevaprubart, including the timing for data readouts;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olevaprubart, including our plans to develop olevaprubart for additional immunological and inflammatory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surrounding the potential safety, efficacy, and regulatory and clinical progress of olevaprubart and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expectations regarding our current or future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olevaprubart, if approved, the rate and degree of market acceptance of olevaprubart and the favorability of pricing regulations, reimbursement practices from third-party payors or healthcare reform initiatives in the United States and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and validate new product candidates or additional indications for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planned use of cash and cash equivalents and the milestones we expect to fund with such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our cash runway, expenses, future revenues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internal controls and procedures and our plans and ability to remediate any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and plans regarding ongoing legal proceedings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benefits that may be derived from the Merger, including the commercial or market opportunity of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our industry or the market opportunities for olevaprubart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political, environmental, economic and public health developments in the United States and foreign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under the caption “Risk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use of any net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be identified by the use of forward-looking words such as “believes,” “expects,” “hopes,” “may,” “will,” “plan,” “intends,” “estimates,” “could,” “should,” “would,” “continue,” “seeks,” “pro forma,” or “anticipates,” or other similar words (including their use in the negative), or by discussions of future matters such as the development of new products, technology enhancements, possible collaborations, possible changes in legislation and other statements that are not historical. These statements include but are not limited to statements under the captions “Business,” “Risk Factors” and “Management’s Discussion and Analysis of Financial Condition and Results of Operations” and in other sections incorporated by reference from our Annual Report on Form 10-K, Quarterly Reports on Form 10-Q and Current Reports on Form 8-K, as applicable, as well as our other filings with the SEC. You should be aware that the occurrence of any of the events discussed under the heading “Risk Factors” in this prospectus and any documents incorporated by reference herein could substantially harm our business, operating results and financial condition and that if any of these events occurs, it could adversely affect the value of an investment in our securities. In addition, statements that “we believe” and similar statements reflect our beliefs and opinions on the relevant subject. These statements are based upon information available to us as of the date the statement was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cautionary statements made in this prospectus are intended to be applicable to all related forward-looking statements wherever they may appear in this prospectus or any documents incorporated by reference herein. We urge you not to place undue reliance on these forward-looking statements, which speak only as of the date they are made. Except as required by law, we assume no obligation to update our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a150354_6"/>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$17.0 million from time to time. The amount of proceeds we receive, if any, will depend on the actual number of shares of our common stock sold and the market price at which such shares are sold. There can be no assurance that we will be able to sell any shares or fully utilize the sales agreement as a source of financing. Because there is no minimum offering amount required as a condition to close this offering, the actual total public offering amount, commissions and proceeds to us, if any, are not determinable at this time.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any net proceeds from this offering for general corporate purposes, which may include clinical trial and other research and development expenses, working capital and general and administrative expenses. The amounts and timing of our actual expenditures will depend on numerous factors, including the factors described under “Risk Factors” in this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these uses, we intend to invest any net proceeds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a150354_8"/>
      <w:bookmarkEnd w:id="2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Jefferies, under which we may offer and sell under this prospectus up to $17.0 million of our shares of common stock from time to time through Jefferies acting as agent. Sales of our shares of common stock, if any, under this prospectus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first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of up to 3.0% of the aggregate gross proceeds we receive from each sale of our shares of common stock under this prospectus.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$100,000, in addition to certain ongoing disbursements of its legal counsel. We estimate that the total initial expenses for the offering, excluding any commissions or expense reimbursement payable to Jefferies under the terms of the sales agreement, will be approximately $300,000.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Capital Market on the day following each day on which our shares of common stock are sold under the sales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shares of common stock pursuant to the sales agreement will terminate as permitted therein. We and Jefferies may each terminate the sales agreement at any time upon ten days’ prior notice.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sales agreement does not purport to be a complete statement of its terms and conditions. A copy of the sales agreement is filed as an exhibit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 electronic format may be made available on a website maintained by Jefferies, and Jefferies may distribute this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a150354_9"/>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has passed upon the validity of the common stock offered by this prospectus. Mintz, Levin, Cohn, Ferris, Glovsky and Popeo, P.C., Boston, Massachusetts is counsel for Jefferies in connection with this offering. </w:t>
      </w:r>
    </w:p>
    <w:p>
      <w:pPr>
        <w:pStyle w:val="TextBody"/>
        <w:bidi w:val="0"/>
        <w:spacing w:before="480" w:after="0"/>
        <w:jc w:val="center"/>
        <w:rPr>
          <w:rFonts w:ascii="Times New Roman" w:hAnsi="Times New Roman"/>
          <w:b/>
          <w:sz w:val="20"/>
        </w:rPr>
      </w:pPr>
      <w:bookmarkStart w:id="25" w:name="toca150354_10"/>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the Company not generating any revenue from product sales and incurring operating losses and negative cash flows from operations since inception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6" w:name="toca150354_11"/>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the exhibits and schedules filed as a part of the registration statement, and the documents incorporated by reference in the registration statement. Statements in this prospectus about these documents are summaries and each statement is qualified in all respects by reference to the document to which it refers. You should refer to the actual documents for a more complete description of the relevant matters.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we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imagenebio.com/investors,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 The website addresses for the SEC and us are inactive textual references and except as specifically incorporated by reference into this prospectus, information on, or accessible through, those websites are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the Company, please send a request in writing or by telephone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ImageneBio, Inc. </w:t>
      </w:r>
    </w:p>
    <w:p>
      <w:pPr>
        <w:pStyle w:val="TextBody"/>
        <w:bidi w:val="0"/>
        <w:spacing w:before="0" w:after="0"/>
        <w:jc w:val="center"/>
        <w:rPr>
          <w:rFonts w:ascii="Times New Roman" w:hAnsi="Times New Roman"/>
          <w:sz w:val="20"/>
        </w:rPr>
      </w:pPr>
      <w:r>
        <w:rPr>
          <w:rFonts w:ascii="Times New Roman" w:hAnsi="Times New Roman"/>
          <w:sz w:val="20"/>
        </w:rPr>
        <w:t xml:space="preserve">12526 High Bluff Drive, Suite 345 </w:t>
      </w:r>
    </w:p>
    <w:p>
      <w:pPr>
        <w:pStyle w:val="TextBody"/>
        <w:bidi w:val="0"/>
        <w:spacing w:before="0" w:after="0"/>
        <w:jc w:val="center"/>
        <w:rPr>
          <w:rFonts w:ascii="Times New Roman" w:hAnsi="Times New Roman"/>
          <w:sz w:val="20"/>
        </w:rPr>
      </w:pPr>
      <w:r>
        <w:rPr>
          <w:rFonts w:ascii="Times New Roman" w:hAnsi="Times New Roman"/>
          <w:sz w:val="20"/>
        </w:rPr>
        <w:t xml:space="preserve">San Diego, CA 92130 </w:t>
      </w:r>
    </w:p>
    <w:p>
      <w:pPr>
        <w:pStyle w:val="TextBody"/>
        <w:bidi w:val="0"/>
        <w:spacing w:before="0" w:after="0"/>
        <w:jc w:val="center"/>
        <w:rPr>
          <w:rFonts w:ascii="Times New Roman" w:hAnsi="Times New Roman"/>
          <w:sz w:val="20"/>
        </w:rPr>
      </w:pPr>
      <w:r>
        <w:rPr>
          <w:rFonts w:ascii="Times New Roman" w:hAnsi="Times New Roman"/>
          <w:sz w:val="20"/>
        </w:rPr>
        <w:t xml:space="preserve">(858) 345-6265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a150354_12"/>
      <w:bookmarkEnd w:id="2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the offering of securities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15">
              <w:r>
                <w:rPr>
                  <w:rStyle w:val="InternetLink"/>
                  <w:rFonts w:ascii="Times New Roman" w:hAnsi="Times New Roman"/>
                  <w:sz w:val="20"/>
                </w:rPr>
                <w:t>March 10, 2026</w:t>
              </w:r>
            </w:hyperlink>
            <w:r>
              <w:rPr>
                <w:rFonts w:ascii="Times New Roman" w:hAnsi="Times New Roman"/>
                <w:sz w:val="20"/>
              </w:rPr>
              <w:t xml:space="preserve">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2025 Annual Report from our definitive proxy statement on Schedule 14A, filed with the SEC on </w:t>
            </w:r>
            <w:hyperlink r:id="rId16">
              <w:r>
                <w:rPr>
                  <w:rStyle w:val="InternetLink"/>
                  <w:rFonts w:ascii="Times New Roman" w:hAnsi="Times New Roman"/>
                  <w:sz w:val="20"/>
                </w:rPr>
                <w:t>April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17">
              <w:r>
                <w:rPr>
                  <w:rStyle w:val="InternetLink"/>
                  <w:rFonts w:ascii="Times New Roman" w:hAnsi="Times New Roman"/>
                  <w:sz w:val="20"/>
                </w:rPr>
                <w:t>May  7, 2026</w:t>
              </w:r>
            </w:hyperlink>
            <w:r>
              <w:rPr>
                <w:rFonts w:ascii="Times New Roman" w:hAnsi="Times New Roman"/>
                <w:sz w:val="20"/>
              </w:rPr>
              <w:t xml:space="preserve"> and </w:t>
            </w:r>
            <w:hyperlink r:id="rId18">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February 17, 2026</w:t>
              </w:r>
            </w:hyperlink>
            <w:r>
              <w:rPr>
                <w:rFonts w:ascii="Times New Roman" w:hAnsi="Times New Roman"/>
                <w:sz w:val="20"/>
              </w:rPr>
              <w:t xml:space="preserve">, </w:t>
            </w:r>
            <w:hyperlink r:id="rId20">
              <w:r>
                <w:rPr>
                  <w:rStyle w:val="InternetLink"/>
                  <w:rFonts w:ascii="Times New Roman" w:hAnsi="Times New Roman"/>
                  <w:sz w:val="20"/>
                </w:rPr>
                <w:t>March  17, 2026</w:t>
              </w:r>
            </w:hyperlink>
            <w:r>
              <w:rPr>
                <w:rFonts w:ascii="Times New Roman" w:hAnsi="Times New Roman"/>
                <w:sz w:val="20"/>
              </w:rPr>
              <w:t xml:space="preserve">, </w:t>
            </w:r>
            <w:hyperlink r:id="rId21">
              <w:r>
                <w:rPr>
                  <w:rStyle w:val="InternetLink"/>
                  <w:rFonts w:ascii="Times New Roman" w:hAnsi="Times New Roman"/>
                  <w:sz w:val="20"/>
                </w:rPr>
                <w:t>April  13, 2026</w:t>
              </w:r>
            </w:hyperlink>
            <w:r>
              <w:rPr>
                <w:rFonts w:ascii="Times New Roman" w:hAnsi="Times New Roman"/>
                <w:sz w:val="20"/>
              </w:rPr>
              <w:t xml:space="preserve">, </w:t>
            </w:r>
            <w:hyperlink r:id="rId22">
              <w:r>
                <w:rPr>
                  <w:rStyle w:val="InternetLink"/>
                  <w:rFonts w:ascii="Times New Roman" w:hAnsi="Times New Roman"/>
                  <w:sz w:val="20"/>
                </w:rPr>
                <w:t>June  17, 2026</w:t>
              </w:r>
            </w:hyperlink>
            <w:r>
              <w:rPr>
                <w:rFonts w:ascii="Times New Roman" w:hAnsi="Times New Roman"/>
                <w:sz w:val="20"/>
              </w:rPr>
              <w:t xml:space="preserve">, </w:t>
            </w:r>
            <w:hyperlink r:id="rId23">
              <w:r>
                <w:rPr>
                  <w:rStyle w:val="InternetLink"/>
                  <w:rFonts w:ascii="Times New Roman" w:hAnsi="Times New Roman"/>
                  <w:sz w:val="20"/>
                </w:rPr>
                <w:t>June  26, 2026</w:t>
              </w:r>
            </w:hyperlink>
            <w:r>
              <w:rPr>
                <w:rFonts w:ascii="Times New Roman" w:hAnsi="Times New Roman"/>
                <w:sz w:val="20"/>
              </w:rPr>
              <w:t xml:space="preserve"> and </w:t>
            </w:r>
            <w:hyperlink r:id="rId24">
              <w:r>
                <w:rPr>
                  <w:rStyle w:val="InternetLink"/>
                  <w:rFonts w:ascii="Times New Roman" w:hAnsi="Times New Roman"/>
                  <w:sz w:val="20"/>
                </w:rPr>
                <w:t>July 23,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filed as </w:t>
            </w:r>
            <w:hyperlink r:id="rId25">
              <w:r>
                <w:rPr>
                  <w:rStyle w:val="InternetLink"/>
                  <w:rFonts w:ascii="Times New Roman" w:hAnsi="Times New Roman"/>
                  <w:sz w:val="20"/>
                </w:rPr>
                <w:t>Exhibit 4.4</w:t>
              </w:r>
            </w:hyperlink>
            <w:r>
              <w:rPr>
                <w:rFonts w:ascii="Times New Roman" w:hAnsi="Times New Roman"/>
                <w:sz w:val="20"/>
              </w:rPr>
              <w:t xml:space="preserve"> to the 2025 Annual Report,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ImageneBio, Inc., 12526 High Bluff Drive, Suite 345, San Diego, CA 92130 (858) 345-6265, Attn: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Up to $17,000,000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3241675" cy="11766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3241675" cy="117665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000" w:after="0"/>
        <w:jc w:val="center"/>
        <w:rPr/>
      </w:pPr>
      <w:r>
        <w:rPr/>
        <w:t>   </w:t>
      </w:r>
      <w:r>
        <w:rPr>
          <w:rFonts w:ascii="Times New Roman" w:hAnsi="Times New Roman"/>
          <w:b/>
          <w:sz w:val="20"/>
        </w:rPr>
        <w:t xml:space="preserve">, 2026 </w:t>
      </w:r>
    </w:p>
    <w:p>
      <w:pPr>
        <w:pStyle w:val="TextBody"/>
        <w:bidi w:val="0"/>
        <w:spacing w:before="48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an estimate of the fees and expenses, other than the underwriting discounts and commissions, payable by us in connection with the issuance and distribution of the securities being registered. All amounts shown below are estimates, except the SEC registration fee and the Financial Industry Regulatory Authority, Inc. (FINRA) filing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9"/>
        <w:gridCol w:w="588"/>
        <w:gridCol w:w="146"/>
        <w:gridCol w:w="762"/>
        <w:gridCol w:w="354"/>
      </w:tblGrid>
      <w:tr>
        <w:trPr/>
        <w:tc>
          <w:tcPr>
            <w:tcW w:w="5089" w:type="dxa"/>
            <w:tcBorders/>
            <w:vAlign w:val="center"/>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54"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27,620</w:t>
            </w:r>
          </w:p>
        </w:tc>
        <w:tc>
          <w:tcPr>
            <w:tcW w:w="354"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5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35,000</w:t>
            </w:r>
          </w:p>
        </w:tc>
        <w:tc>
          <w:tcPr>
            <w:tcW w:w="354"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(1)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(1)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5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(1)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5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(1)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Blue sky fees and expenses (including legal fees)</w:t>
            </w:r>
          </w:p>
        </w:tc>
        <w:tc>
          <w:tcPr>
            <w:tcW w:w="5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(1) </w:t>
            </w:r>
          </w:p>
        </w:tc>
      </w:tr>
      <w:tr>
        <w:trPr/>
        <w:tc>
          <w:tcPr>
            <w:tcW w:w="5089"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miscellaneous fees and expenses</w:t>
            </w:r>
          </w:p>
        </w:tc>
        <w:tc>
          <w:tcPr>
            <w:tcW w:w="5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(1)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 </w:t>
            </w:r>
          </w:p>
        </w:tc>
        <w:tc>
          <w:tcPr>
            <w:tcW w:w="354" w:type="dxa"/>
            <w:tcBorders/>
            <w:shd w:fill="CCEEFF" w:val="clear"/>
            <w:vAlign w:val="bottom"/>
          </w:tcPr>
          <w:p>
            <w:pPr>
              <w:pStyle w:val="TableContents"/>
              <w:bidi w:val="0"/>
              <w:spacing w:before="0" w:after="283"/>
              <w:jc w:val="left"/>
              <w:rPr/>
            </w:pPr>
            <w:r>
              <w:rPr/>
              <w:t>(1)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An estimate of the aggregate expenses in connection with the sale and distribution of securities being offered will be included in the applicable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General Corporation Law of the State of Delaware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our amended and restated bylaws provide that we will indemnify our directors, officers and, in the discretion of our board of directors (the “Board”), certain employees to the fullest extent permitted by the DGCL, as it now exists or may in the future be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advance expenses, including attorneys’ fees, to our directors and, in the discretion of our Board, to our officers and certain employees, in connection with legal proceedings relating to their service for or on behalf of us,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and intend to continue to enter into separate indemnification agreements with our directors and executive officers. These agreements provide that we will indemnify each of our directors and executive officers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we have agreed in the indemnification agreements that our obligations to those same directors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which covers certain liabilities of our directors and officers arising out of claims based on acts or omissions in their capacities as directors or officers, including liabilities under the Securities Act. 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Open Market Sale AgreementSM we have entered into, filed as Exhibit 1.2 to this Registration Statement, provides for indemnification by the sales agent of the registrant, our directors, our officers who sign this Registration Statement and our controlling persons, if any, for some liabilities, including liabilities arising under the Securities Act. The underwriting agreement that we may enter into, filed as Exhibit 1.1 to this Registration Statement, will provide for indemnification by any underwriters of the registrant, our directors, our officers who sign this Registration Statement and our controlling persons, if any, for some liabilities, including liabilities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
        <w:gridCol w:w="497"/>
        <w:gridCol w:w="8823"/>
      </w:tblGrid>
      <w:tr>
        <w:trPr/>
        <w:tc>
          <w:tcPr>
            <w:tcW w:w="885"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8823" w:type="dxa"/>
            <w:tcBorders/>
            <w:vAlign w:val="center"/>
          </w:tcPr>
          <w:p>
            <w:pPr>
              <w:pStyle w:val="TableContents"/>
              <w:bidi w:val="0"/>
              <w:spacing w:before="0" w:after="283"/>
              <w:jc w:val="left"/>
              <w:rPr>
                <w:sz w:val="4"/>
                <w:szCs w:val="4"/>
              </w:rPr>
            </w:pPr>
            <w:r>
              <w:rPr>
                <w:sz w:val="4"/>
                <w:szCs w:val="4"/>
              </w:rPr>
            </w:r>
          </w:p>
        </w:tc>
      </w:tr>
      <w:tr>
        <w:trPr/>
        <w:tc>
          <w:tcPr>
            <w:tcW w:w="885"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97" w:type="dxa"/>
            <w:tcBorders/>
            <w:vAlign w:val="bottom"/>
          </w:tcPr>
          <w:p>
            <w:pPr>
              <w:pStyle w:val="TableContents"/>
              <w:bidi w:val="0"/>
              <w:spacing w:before="0" w:after="283"/>
              <w:jc w:val="left"/>
              <w:rPr/>
            </w:pPr>
            <w:r>
              <w:rPr/>
              <w:t>  </w:t>
            </w:r>
          </w:p>
        </w:tc>
        <w:tc>
          <w:tcPr>
            <w:tcW w:w="88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1.1*</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r>
              <w:rPr/>
              <w:t>Form of Underwriting Agreement</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1.2</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w:anchor="d150354dex12.htm">
              <w:r>
                <w:rPr>
                  <w:rStyle w:val="InternetLink"/>
                </w:rPr>
                <w:t xml:space="preserve">Open Market Sales Agreement, dated August 5, 2026, between the Registrant and Jefferies LLC.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2.1+</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27">
              <w:r>
                <w:rPr>
                  <w:rStyle w:val="InternetLink"/>
                </w:rPr>
                <w:t>Agreement and Plan of Merger, dated December  23, 2024, by and among the Registrant, Insight Merger Sub I, Insight Merger Sub II, and Inmagene Biopharmaceuticals (incorporated by reference to Exhibit 2.1 to the Registrant’s Current Report on Form 8-K (File No. 001-40287) filed with the SEC on December 23, 2024).</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79"/>
        <w:gridCol w:w="484"/>
        <w:gridCol w:w="8842"/>
      </w:tblGrid>
      <w:tr>
        <w:trPr/>
        <w:tc>
          <w:tcPr>
            <w:tcW w:w="87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842" w:type="dxa"/>
            <w:tcBorders/>
            <w:vAlign w:val="center"/>
          </w:tcPr>
          <w:p>
            <w:pPr>
              <w:pStyle w:val="TableContents"/>
              <w:bidi w:val="0"/>
              <w:spacing w:before="0" w:after="283"/>
              <w:jc w:val="left"/>
              <w:rPr>
                <w:sz w:val="4"/>
                <w:szCs w:val="4"/>
              </w:rPr>
            </w:pPr>
            <w:r>
              <w:rPr>
                <w:sz w:val="4"/>
                <w:szCs w:val="4"/>
              </w:rPr>
            </w:r>
          </w:p>
        </w:tc>
      </w:tr>
      <w:tr>
        <w:trPr/>
        <w:tc>
          <w:tcPr>
            <w:tcW w:w="879"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84" w:type="dxa"/>
            <w:tcBorders/>
            <w:vAlign w:val="bottom"/>
          </w:tcPr>
          <w:p>
            <w:pPr>
              <w:pStyle w:val="TableContents"/>
              <w:bidi w:val="0"/>
              <w:spacing w:before="0" w:after="283"/>
              <w:jc w:val="left"/>
              <w:rPr/>
            </w:pPr>
            <w:r>
              <w:rPr/>
              <w:t>  </w:t>
            </w:r>
          </w:p>
        </w:tc>
        <w:tc>
          <w:tcPr>
            <w:tcW w:w="88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Document</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4.1</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28">
              <w:r>
                <w:rPr>
                  <w:rStyle w:val="InternetLink"/>
                </w:rPr>
                <w:t>Fifth Amended and Restated Certificate of Incorporation of the Registrant (incorporated by reference to Exhibit 3.1 to the Registrant’s Current Report on Form 8-K (File No. 001-40287) filed with the SEC on March 30, 2021).</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4.2</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29">
              <w:r>
                <w:rPr>
                  <w:rStyle w:val="InternetLink"/>
                </w:rPr>
                <w:t>Certificate of Amendment to the Fifth Amended and Restated Certificate of Incorporation of the Registrant, dated July  25, 2025 (Stock Split Amendment) (incorporated by reference to Exhibit 3.1 to the Registrant’s Current Report on Form 8-K (File No.  001-40287) filed with the SEC on July 29,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4.3</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30">
              <w:r>
                <w:rPr>
                  <w:rStyle w:val="InternetLink"/>
                </w:rPr>
                <w:t>Certificate of Amendment to the Fifth Amended and Restated Certificate of Incorporation of the Registrant, dated July  25, 2025 (Name Change Amendment) (incorporated by reference to Exhibit 3.2 to the Registrant’s Current Report on Form 8-K (File No.  001-40287) filed with the SEC on July 29, 2025).</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4.4</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r:id="rId31">
              <w:r>
                <w:rPr>
                  <w:rStyle w:val="InternetLink"/>
                </w:rPr>
                <w:t>Amended and Restated Bylaws of the Registrant (incorporated by reference to Exhibit 3.2 to the Registrant’s Current Report on Form 8-K (File No. 001-40287) filed with the SEC on March 30, 2021).</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4.5*</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r>
              <w:rPr/>
              <w:t>Form of Specimen Preferred Stock Certificate and Certificate of Designations of Preferred Stock</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4.8</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48.htm">
              <w:r>
                <w:rPr>
                  <w:rStyle w:val="InternetLink"/>
                </w:rPr>
                <w:t xml:space="preserve">Form of Common Stock Warrant Agreement and Warrant Certificate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4.9</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49.htm">
              <w:r>
                <w:rPr>
                  <w:rStyle w:val="InternetLink"/>
                </w:rPr>
                <w:t xml:space="preserve">Form of Preferred Stock Warrant Agreement and Warrant Certificate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4.10*</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r>
              <w:rPr/>
              <w:t>Form of Debt Securities</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4.11</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411.htm">
              <w:r>
                <w:rPr>
                  <w:rStyle w:val="InternetLink"/>
                </w:rPr>
                <w:t xml:space="preserve">Form of Debt Securities Warrant Agreement and Warrant Certificate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4.12</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412.htm">
              <w:r>
                <w:rPr>
                  <w:rStyle w:val="InternetLink"/>
                </w:rPr>
                <w:t xml:space="preserve">Form of Indenture, between registrant and one or more trustees to be named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 </w:t>
            </w:r>
            <w:r>
              <w:rPr/>
              <w:t>5.1</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51.htm">
              <w:r>
                <w:rPr>
                  <w:rStyle w:val="InternetLink"/>
                </w:rPr>
                <w:t xml:space="preserve">Opinion of Cooley LLP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23.1</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231.htm">
              <w:r>
                <w:rPr>
                  <w:rStyle w:val="InternetLink"/>
                </w:rPr>
                <w:t xml:space="preserve">Consent of PricewaterhouseCoopers LLP, Independent Registered Public Accounting Firm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23.3</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51.htm">
              <w:r>
                <w:rPr>
                  <w:rStyle w:val="InternetLink"/>
                </w:rPr>
                <w:t xml:space="preserve">Consent of Cooley LLP (included in Exhibit 5.1)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24.1</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25.1*</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r>
              <w:rPr/>
              <w:t>Statement of Eligibility of Trustee under the Indenture</w:t>
            </w:r>
          </w:p>
        </w:tc>
      </w:tr>
      <w:tr>
        <w:trPr>
          <w:trHeight w:val="120" w:hRule="atLeast"/>
        </w:trPr>
        <w:tc>
          <w:tcPr>
            <w:tcW w:w="879" w:type="dxa"/>
            <w:tcBorders/>
            <w:vAlign w:val="center"/>
          </w:tcPr>
          <w:p>
            <w:pPr>
              <w:pStyle w:val="TableContents"/>
              <w:bidi w:val="0"/>
              <w:spacing w:before="0" w:after="283"/>
              <w:jc w:val="left"/>
              <w:rPr>
                <w:sz w:val="4"/>
                <w:szCs w:val="4"/>
              </w:rPr>
            </w:pPr>
            <w:r>
              <w:rPr>
                <w:sz w:val="4"/>
                <w:szCs w:val="4"/>
              </w:rPr>
            </w:r>
          </w:p>
        </w:tc>
        <w:tc>
          <w:tcPr>
            <w:tcW w:w="9326" w:type="dxa"/>
            <w:gridSpan w:val="2"/>
            <w:tcBorders/>
            <w:vAlign w:val="center"/>
          </w:tcPr>
          <w:p>
            <w:pPr>
              <w:pStyle w:val="TableContents"/>
              <w:bidi w:val="0"/>
              <w:spacing w:before="0" w:after="283"/>
              <w:jc w:val="left"/>
              <w:rPr>
                <w:sz w:val="4"/>
                <w:szCs w:val="4"/>
              </w:rPr>
            </w:pPr>
            <w:r>
              <w:rPr>
                <w:sz w:val="4"/>
                <w:szCs w:val="4"/>
              </w:rPr>
            </w:r>
          </w:p>
        </w:tc>
      </w:tr>
      <w:tr>
        <w:trPr/>
        <w:tc>
          <w:tcPr>
            <w:tcW w:w="879" w:type="dxa"/>
            <w:tcBorders/>
          </w:tcPr>
          <w:p>
            <w:pPr>
              <w:pStyle w:val="TableContents"/>
              <w:bidi w:val="0"/>
              <w:spacing w:before="0" w:after="283"/>
              <w:jc w:val="left"/>
              <w:rPr/>
            </w:pPr>
            <w:r>
              <w:rPr/>
              <w:t>107</w:t>
            </w:r>
          </w:p>
        </w:tc>
        <w:tc>
          <w:tcPr>
            <w:tcW w:w="48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150354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this agreement have been omitted pursuant to Item 601(b)(2) of Regulation S-K. The Registrant hereby agrees to furnish supplementally a copy of any omitted annex, schedule or exhibit to the SEC upon request.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by a report filed under the Securities Exchange Act of 1934, as amended, and incorporated herein by reference, if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the purpose of determining liability of the registrant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(d) 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(e) 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sig"/>
      <w:bookmarkEnd w:id="2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August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IMAGENEBIO,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Kristin Yarema</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Kristin Yarema, Ph.D.</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i/>
              </w:rPr>
            </w:pPr>
            <w:r>
              <w:rPr>
                <w:i/>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constitutes and appoints Kristin Yarema, Ph.D. and Yanina Grant, and each of them, as true and lawful attorneys-in-fact and agents, each with full powers of substitution and resubstitution, for them and in their name, place and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and generally to do all such things in their names and behalf in their capacities as officers and directors to enable ImageneBio, Inc. to comply with the provisions of the Securities Act, and all requirements of the SEC, granting unto said attorneys-in-fact and agents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substitutes or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4"/>
        <w:gridCol w:w="120"/>
        <w:gridCol w:w="4123"/>
        <w:gridCol w:w="203"/>
        <w:gridCol w:w="2025"/>
      </w:tblGrid>
      <w:tr>
        <w:trPr/>
        <w:tc>
          <w:tcPr>
            <w:tcW w:w="3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2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r>
      <w:tr>
        <w:trPr/>
        <w:tc>
          <w:tcPr>
            <w:tcW w:w="3734"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4123" w:type="dxa"/>
            <w:tcBorders/>
            <w:vAlign w:val="bottom"/>
          </w:tcPr>
          <w:p>
            <w:pPr>
              <w:pStyle w:val="TableContents"/>
              <w:bidi w:val="0"/>
              <w:spacing w:before="0" w:after="283"/>
              <w:jc w:val="center"/>
              <w:rPr>
                <w:b/>
              </w:rPr>
            </w:pPr>
            <w:r>
              <w:rPr>
                <w:b/>
              </w:rPr>
              <w:t>Title</w:t>
            </w:r>
          </w:p>
        </w:tc>
        <w:tc>
          <w:tcPr>
            <w:tcW w:w="203" w:type="dxa"/>
            <w:tcBorders/>
            <w:vAlign w:val="bottom"/>
          </w:tcPr>
          <w:p>
            <w:pPr>
              <w:pStyle w:val="TableContents"/>
              <w:bidi w:val="0"/>
              <w:spacing w:before="0" w:after="283"/>
              <w:jc w:val="left"/>
              <w:rPr/>
            </w:pPr>
            <w:r>
              <w:rPr/>
              <w:t> </w:t>
            </w:r>
          </w:p>
        </w:tc>
        <w:tc>
          <w:tcPr>
            <w:tcW w:w="2025" w:type="dxa"/>
            <w:tcBorders/>
            <w:vAlign w:val="bottom"/>
          </w:tcPr>
          <w:p>
            <w:pPr>
              <w:pStyle w:val="TableContents"/>
              <w:bidi w:val="0"/>
              <w:spacing w:before="0" w:after="283"/>
              <w:jc w:val="center"/>
              <w:rPr>
                <w:b/>
              </w:rPr>
            </w:pPr>
            <w:r>
              <w:rPr>
                <w:b/>
              </w:rPr>
              <w:t>Date</w:t>
            </w:r>
          </w:p>
        </w:tc>
      </w:tr>
      <w:tr>
        <w:trPr>
          <w:trHeight w:val="240" w:hRule="atLeast"/>
        </w:trPr>
        <w:tc>
          <w:tcPr>
            <w:tcW w:w="3734"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2228" w:type="dxa"/>
            <w:gridSpan w:val="2"/>
            <w:tcBorders/>
            <w:vAlign w:val="center"/>
          </w:tcPr>
          <w:p>
            <w:pPr>
              <w:pStyle w:val="TableContents"/>
              <w:bidi w:val="0"/>
              <w:spacing w:before="0" w:after="283"/>
              <w:jc w:val="left"/>
              <w:rPr>
                <w:sz w:val="4"/>
                <w:szCs w:val="4"/>
              </w:rPr>
            </w:pPr>
            <w:r>
              <w:rPr>
                <w:sz w:val="4"/>
                <w:szCs w:val="4"/>
              </w:rPr>
            </w:r>
          </w:p>
        </w:tc>
      </w:tr>
      <w:tr>
        <w:trPr/>
        <w:tc>
          <w:tcPr>
            <w:tcW w:w="37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Kristin Yarema</w:t>
            </w:r>
          </w:p>
          <w:p>
            <w:pPr>
              <w:pStyle w:val="TableContents"/>
              <w:bidi w:val="0"/>
              <w:spacing w:before="0" w:after="20"/>
              <w:jc w:val="center"/>
              <w:rPr>
                <w:rFonts w:ascii="Times New Roman" w:hAnsi="Times New Roman"/>
                <w:sz w:val="20"/>
              </w:rPr>
            </w:pPr>
            <w:r>
              <w:rPr>
                <w:rFonts w:ascii="Times New Roman" w:hAnsi="Times New Roman"/>
                <w:sz w:val="20"/>
              </w:rPr>
              <w:t>Kristin Yarema, Ph.D.</w:t>
            </w:r>
          </w:p>
        </w:tc>
        <w:tc>
          <w:tcPr>
            <w:tcW w:w="120" w:type="dxa"/>
            <w:tcBorders/>
            <w:vAlign w:val="bottom"/>
          </w:tcPr>
          <w:p>
            <w:pPr>
              <w:pStyle w:val="TableContents"/>
              <w:bidi w:val="0"/>
              <w:spacing w:before="0" w:after="283"/>
              <w:jc w:val="left"/>
              <w:rPr/>
            </w:pPr>
            <w:r>
              <w:rPr/>
              <w:t>  </w:t>
            </w:r>
          </w:p>
        </w:tc>
        <w:tc>
          <w:tcPr>
            <w:tcW w:w="4123"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 (Principal Executive Officer)</w:t>
            </w:r>
          </w:p>
        </w:tc>
        <w:tc>
          <w:tcPr>
            <w:tcW w:w="203"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August 5, 2026</w:t>
            </w:r>
          </w:p>
        </w:tc>
      </w:tr>
      <w:tr>
        <w:trPr>
          <w:trHeight w:val="240" w:hRule="atLeast"/>
        </w:trPr>
        <w:tc>
          <w:tcPr>
            <w:tcW w:w="3734"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2228" w:type="dxa"/>
            <w:gridSpan w:val="2"/>
            <w:tcBorders/>
            <w:vAlign w:val="center"/>
          </w:tcPr>
          <w:p>
            <w:pPr>
              <w:pStyle w:val="TableContents"/>
              <w:bidi w:val="0"/>
              <w:spacing w:before="0" w:after="283"/>
              <w:jc w:val="left"/>
              <w:rPr>
                <w:sz w:val="4"/>
                <w:szCs w:val="4"/>
              </w:rPr>
            </w:pPr>
            <w:r>
              <w:rPr>
                <w:sz w:val="4"/>
                <w:szCs w:val="4"/>
              </w:rPr>
            </w:r>
          </w:p>
        </w:tc>
      </w:tr>
      <w:tr>
        <w:trPr/>
        <w:tc>
          <w:tcPr>
            <w:tcW w:w="37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Yanina Grant</w:t>
            </w:r>
          </w:p>
          <w:p>
            <w:pPr>
              <w:pStyle w:val="TableContents"/>
              <w:bidi w:val="0"/>
              <w:spacing w:before="0" w:after="20"/>
              <w:jc w:val="center"/>
              <w:rPr>
                <w:rFonts w:ascii="Times New Roman" w:hAnsi="Times New Roman"/>
                <w:sz w:val="20"/>
              </w:rPr>
            </w:pPr>
            <w:r>
              <w:rPr>
                <w:rFonts w:ascii="Times New Roman" w:hAnsi="Times New Roman"/>
                <w:sz w:val="20"/>
              </w:rPr>
              <w:t>Yanina Grant</w:t>
            </w:r>
          </w:p>
        </w:tc>
        <w:tc>
          <w:tcPr>
            <w:tcW w:w="120" w:type="dxa"/>
            <w:tcBorders/>
            <w:vAlign w:val="bottom"/>
          </w:tcPr>
          <w:p>
            <w:pPr>
              <w:pStyle w:val="TableContents"/>
              <w:bidi w:val="0"/>
              <w:spacing w:before="0" w:after="283"/>
              <w:jc w:val="left"/>
              <w:rPr/>
            </w:pPr>
            <w:r>
              <w:rPr/>
              <w:t>  </w:t>
            </w:r>
          </w:p>
        </w:tc>
        <w:tc>
          <w:tcPr>
            <w:tcW w:w="4123"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203"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August 5, 2026</w:t>
            </w:r>
          </w:p>
        </w:tc>
      </w:tr>
      <w:tr>
        <w:trPr>
          <w:trHeight w:val="240" w:hRule="atLeast"/>
        </w:trPr>
        <w:tc>
          <w:tcPr>
            <w:tcW w:w="3734"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2228" w:type="dxa"/>
            <w:gridSpan w:val="2"/>
            <w:tcBorders/>
            <w:vAlign w:val="center"/>
          </w:tcPr>
          <w:p>
            <w:pPr>
              <w:pStyle w:val="TableContents"/>
              <w:bidi w:val="0"/>
              <w:spacing w:before="0" w:after="283"/>
              <w:jc w:val="left"/>
              <w:rPr>
                <w:sz w:val="4"/>
                <w:szCs w:val="4"/>
              </w:rPr>
            </w:pPr>
            <w:r>
              <w:rPr>
                <w:sz w:val="4"/>
                <w:szCs w:val="4"/>
              </w:rPr>
            </w:r>
          </w:p>
        </w:tc>
      </w:tr>
      <w:tr>
        <w:trPr/>
        <w:tc>
          <w:tcPr>
            <w:tcW w:w="37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Jian Wang</w:t>
            </w:r>
          </w:p>
          <w:p>
            <w:pPr>
              <w:pStyle w:val="TableContents"/>
              <w:bidi w:val="0"/>
              <w:spacing w:before="0" w:after="20"/>
              <w:jc w:val="center"/>
              <w:rPr>
                <w:rFonts w:ascii="Times New Roman" w:hAnsi="Times New Roman"/>
                <w:sz w:val="20"/>
              </w:rPr>
            </w:pPr>
            <w:r>
              <w:rPr>
                <w:rFonts w:ascii="Times New Roman" w:hAnsi="Times New Roman"/>
                <w:sz w:val="20"/>
              </w:rPr>
              <w:t>Jonathan Jian Wang, Ph.D., MBA</w:t>
            </w:r>
          </w:p>
        </w:tc>
        <w:tc>
          <w:tcPr>
            <w:tcW w:w="120" w:type="dxa"/>
            <w:tcBorders/>
            <w:vAlign w:val="bottom"/>
          </w:tcPr>
          <w:p>
            <w:pPr>
              <w:pStyle w:val="TableContents"/>
              <w:bidi w:val="0"/>
              <w:spacing w:before="0" w:after="283"/>
              <w:jc w:val="left"/>
              <w:rPr/>
            </w:pPr>
            <w:r>
              <w:rPr/>
              <w:t>  </w:t>
            </w:r>
          </w:p>
        </w:tc>
        <w:tc>
          <w:tcPr>
            <w:tcW w:w="4123" w:type="dxa"/>
            <w:tcBorders/>
          </w:tcPr>
          <w:p>
            <w:pPr>
              <w:pStyle w:val="TableContents"/>
              <w:bidi w:val="0"/>
              <w:spacing w:before="0" w:after="0"/>
              <w:jc w:val="center"/>
              <w:rPr>
                <w:rFonts w:ascii="Times New Roman" w:hAnsi="Times New Roman"/>
                <w:sz w:val="20"/>
              </w:rPr>
            </w:pPr>
            <w:r>
              <w:rPr>
                <w:rFonts w:ascii="Times New Roman" w:hAnsi="Times New Roman"/>
                <w:sz w:val="20"/>
              </w:rPr>
              <w:t>Chair of the Board</w:t>
            </w:r>
          </w:p>
        </w:tc>
        <w:tc>
          <w:tcPr>
            <w:tcW w:w="203"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August 5, 2026</w:t>
            </w:r>
          </w:p>
        </w:tc>
      </w:tr>
      <w:tr>
        <w:trPr>
          <w:trHeight w:val="240" w:hRule="atLeast"/>
        </w:trPr>
        <w:tc>
          <w:tcPr>
            <w:tcW w:w="3734"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2228" w:type="dxa"/>
            <w:gridSpan w:val="2"/>
            <w:tcBorders/>
            <w:vAlign w:val="center"/>
          </w:tcPr>
          <w:p>
            <w:pPr>
              <w:pStyle w:val="TableContents"/>
              <w:bidi w:val="0"/>
              <w:spacing w:before="0" w:after="283"/>
              <w:jc w:val="left"/>
              <w:rPr>
                <w:sz w:val="4"/>
                <w:szCs w:val="4"/>
              </w:rPr>
            </w:pPr>
            <w:r>
              <w:rPr>
                <w:sz w:val="4"/>
                <w:szCs w:val="4"/>
              </w:rPr>
            </w:r>
          </w:p>
        </w:tc>
      </w:tr>
      <w:tr>
        <w:trPr/>
        <w:tc>
          <w:tcPr>
            <w:tcW w:w="37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P. Bonita</w:t>
            </w:r>
          </w:p>
          <w:p>
            <w:pPr>
              <w:pStyle w:val="TableContents"/>
              <w:bidi w:val="0"/>
              <w:spacing w:before="0" w:after="20"/>
              <w:jc w:val="center"/>
              <w:rPr>
                <w:rFonts w:ascii="Times New Roman" w:hAnsi="Times New Roman"/>
                <w:sz w:val="20"/>
              </w:rPr>
            </w:pPr>
            <w:r>
              <w:rPr>
                <w:rFonts w:ascii="Times New Roman" w:hAnsi="Times New Roman"/>
                <w:sz w:val="20"/>
              </w:rPr>
              <w:t>David P. Bonita, M.D.</w:t>
            </w:r>
          </w:p>
        </w:tc>
        <w:tc>
          <w:tcPr>
            <w:tcW w:w="120" w:type="dxa"/>
            <w:tcBorders/>
            <w:vAlign w:val="bottom"/>
          </w:tcPr>
          <w:p>
            <w:pPr>
              <w:pStyle w:val="TableContents"/>
              <w:bidi w:val="0"/>
              <w:spacing w:before="0" w:after="283"/>
              <w:jc w:val="left"/>
              <w:rPr/>
            </w:pPr>
            <w:r>
              <w:rPr/>
              <w:t>  </w:t>
            </w:r>
          </w:p>
        </w:tc>
        <w:tc>
          <w:tcPr>
            <w:tcW w:w="4123" w:type="dxa"/>
            <w:tcBorders/>
          </w:tcPr>
          <w:p>
            <w:pPr>
              <w:pStyle w:val="TableContents"/>
              <w:bidi w:val="0"/>
              <w:spacing w:before="0" w:after="0"/>
              <w:jc w:val="center"/>
              <w:rPr>
                <w:rFonts w:ascii="Times New Roman" w:hAnsi="Times New Roman"/>
                <w:sz w:val="20"/>
              </w:rPr>
            </w:pPr>
            <w:r>
              <w:rPr>
                <w:rFonts w:ascii="Times New Roman" w:hAnsi="Times New Roman"/>
                <w:sz w:val="20"/>
              </w:rPr>
              <w:t>Lead Independent Director</w:t>
            </w:r>
          </w:p>
        </w:tc>
        <w:tc>
          <w:tcPr>
            <w:tcW w:w="203"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August 5, 2026</w:t>
            </w:r>
          </w:p>
        </w:tc>
      </w:tr>
      <w:tr>
        <w:trPr>
          <w:trHeight w:val="240" w:hRule="atLeast"/>
        </w:trPr>
        <w:tc>
          <w:tcPr>
            <w:tcW w:w="3734"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2228" w:type="dxa"/>
            <w:gridSpan w:val="2"/>
            <w:tcBorders/>
            <w:vAlign w:val="center"/>
          </w:tcPr>
          <w:p>
            <w:pPr>
              <w:pStyle w:val="TableContents"/>
              <w:bidi w:val="0"/>
              <w:spacing w:before="0" w:after="283"/>
              <w:jc w:val="left"/>
              <w:rPr>
                <w:sz w:val="4"/>
                <w:szCs w:val="4"/>
              </w:rPr>
            </w:pPr>
            <w:r>
              <w:rPr>
                <w:sz w:val="4"/>
                <w:szCs w:val="4"/>
              </w:rPr>
            </w:r>
          </w:p>
        </w:tc>
      </w:tr>
      <w:tr>
        <w:trPr/>
        <w:tc>
          <w:tcPr>
            <w:tcW w:w="373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Joseph P. Slattery</w:t>
            </w:r>
          </w:p>
          <w:p>
            <w:pPr>
              <w:pStyle w:val="TableContents"/>
              <w:bidi w:val="0"/>
              <w:spacing w:before="0" w:after="20"/>
              <w:jc w:val="center"/>
              <w:rPr>
                <w:rFonts w:ascii="Times New Roman" w:hAnsi="Times New Roman"/>
                <w:sz w:val="20"/>
              </w:rPr>
            </w:pPr>
            <w:r>
              <w:rPr>
                <w:rFonts w:ascii="Times New Roman" w:hAnsi="Times New Roman"/>
                <w:sz w:val="20"/>
              </w:rPr>
              <w:t>Joseph P. Slattery</w:t>
            </w:r>
          </w:p>
        </w:tc>
        <w:tc>
          <w:tcPr>
            <w:tcW w:w="120" w:type="dxa"/>
            <w:tcBorders/>
            <w:vAlign w:val="bottom"/>
          </w:tcPr>
          <w:p>
            <w:pPr>
              <w:pStyle w:val="TableContents"/>
              <w:bidi w:val="0"/>
              <w:spacing w:before="0" w:after="283"/>
              <w:jc w:val="left"/>
              <w:rPr/>
            </w:pPr>
            <w:r>
              <w:rPr/>
              <w:t>  </w:t>
            </w:r>
          </w:p>
        </w:tc>
        <w:tc>
          <w:tcPr>
            <w:tcW w:w="4123"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25" w:type="dxa"/>
            <w:tcBorders/>
          </w:tcPr>
          <w:p>
            <w:pPr>
              <w:pStyle w:val="TableContents"/>
              <w:bidi w:val="0"/>
              <w:spacing w:before="0" w:after="283"/>
              <w:jc w:val="center"/>
              <w:rPr/>
            </w:pPr>
            <w:r>
              <w:rPr/>
              <w:t>August 5, 2026</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770"/>
        <w:gridCol w:w="122"/>
        <w:gridCol w:w="4056"/>
        <w:gridCol w:w="203"/>
        <w:gridCol w:w="2054"/>
      </w:tblGrid>
      <w:tr>
        <w:trPr/>
        <w:tc>
          <w:tcPr>
            <w:tcW w:w="37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bottom"/>
          </w:tcPr>
          <w:p>
            <w:pPr>
              <w:pStyle w:val="TableContents"/>
              <w:bidi w:val="0"/>
              <w:spacing w:before="0" w:after="283"/>
              <w:jc w:val="center"/>
              <w:rPr>
                <w:b/>
              </w:rPr>
            </w:pPr>
            <w:r>
              <w:rPr>
                <w:b/>
              </w:rPr>
              <w:t>Signature</w:t>
            </w:r>
          </w:p>
        </w:tc>
        <w:tc>
          <w:tcPr>
            <w:tcW w:w="122" w:type="dxa"/>
            <w:tcBorders/>
            <w:vAlign w:val="bottom"/>
          </w:tcPr>
          <w:p>
            <w:pPr>
              <w:pStyle w:val="TableContents"/>
              <w:bidi w:val="0"/>
              <w:spacing w:before="0" w:after="283"/>
              <w:jc w:val="left"/>
              <w:rPr/>
            </w:pPr>
            <w:r>
              <w:rPr/>
              <w:t>  </w:t>
            </w:r>
          </w:p>
        </w:tc>
        <w:tc>
          <w:tcPr>
            <w:tcW w:w="4056" w:type="dxa"/>
            <w:tcBorders/>
            <w:vAlign w:val="bottom"/>
          </w:tcPr>
          <w:p>
            <w:pPr>
              <w:pStyle w:val="TableContents"/>
              <w:bidi w:val="0"/>
              <w:spacing w:before="0" w:after="283"/>
              <w:jc w:val="center"/>
              <w:rPr>
                <w:b/>
              </w:rPr>
            </w:pPr>
            <w:r>
              <w:rPr>
                <w:b/>
              </w:rPr>
              <w:t>Title</w:t>
            </w:r>
          </w:p>
        </w:tc>
        <w:tc>
          <w:tcPr>
            <w:tcW w:w="203" w:type="dxa"/>
            <w:tcBorders/>
            <w:vAlign w:val="bottom"/>
          </w:tcPr>
          <w:p>
            <w:pPr>
              <w:pStyle w:val="TableContents"/>
              <w:bidi w:val="0"/>
              <w:spacing w:before="0" w:after="283"/>
              <w:jc w:val="left"/>
              <w:rPr/>
            </w:pPr>
            <w:r>
              <w:rPr/>
              <w:t> </w:t>
            </w:r>
          </w:p>
        </w:tc>
        <w:tc>
          <w:tcPr>
            <w:tcW w:w="2054" w:type="dxa"/>
            <w:tcBorders/>
            <w:vAlign w:val="bottom"/>
          </w:tcPr>
          <w:p>
            <w:pPr>
              <w:pStyle w:val="TableContents"/>
              <w:bidi w:val="0"/>
              <w:spacing w:before="0" w:after="283"/>
              <w:jc w:val="center"/>
              <w:rPr>
                <w:b/>
              </w:rPr>
            </w:pPr>
            <w:r>
              <w:rPr>
                <w:b/>
              </w:rPr>
              <w:t>Date</w:t>
            </w:r>
          </w:p>
        </w:tc>
      </w:tr>
      <w:tr>
        <w:trPr>
          <w:trHeight w:val="240" w:hRule="atLeast"/>
        </w:trPr>
        <w:tc>
          <w:tcPr>
            <w:tcW w:w="3770"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r>
      <w:tr>
        <w:trPr/>
        <w:tc>
          <w:tcPr>
            <w:tcW w:w="377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Otello Stampacchia</w:t>
            </w:r>
          </w:p>
          <w:p>
            <w:pPr>
              <w:pStyle w:val="TableContents"/>
              <w:bidi w:val="0"/>
              <w:spacing w:before="0" w:after="20"/>
              <w:jc w:val="center"/>
              <w:rPr>
                <w:rFonts w:ascii="Times New Roman" w:hAnsi="Times New Roman"/>
                <w:sz w:val="20"/>
              </w:rPr>
            </w:pPr>
            <w:r>
              <w:rPr>
                <w:rFonts w:ascii="Times New Roman" w:hAnsi="Times New Roman"/>
                <w:sz w:val="20"/>
              </w:rPr>
              <w:t>Otello Stampacchia, Ph.D.</w:t>
            </w:r>
          </w:p>
        </w:tc>
        <w:tc>
          <w:tcPr>
            <w:tcW w:w="122" w:type="dxa"/>
            <w:tcBorders/>
            <w:vAlign w:val="bottom"/>
          </w:tcPr>
          <w:p>
            <w:pPr>
              <w:pStyle w:val="TableContents"/>
              <w:bidi w:val="0"/>
              <w:spacing w:before="0" w:after="283"/>
              <w:jc w:val="left"/>
              <w:rPr/>
            </w:pPr>
            <w:r>
              <w:rPr/>
              <w:t>  </w:t>
            </w:r>
          </w:p>
        </w:tc>
        <w:tc>
          <w:tcPr>
            <w:tcW w:w="405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54" w:type="dxa"/>
            <w:tcBorders/>
          </w:tcPr>
          <w:p>
            <w:pPr>
              <w:pStyle w:val="TableContents"/>
              <w:bidi w:val="0"/>
              <w:spacing w:before="0" w:after="283"/>
              <w:jc w:val="center"/>
              <w:rPr/>
            </w:pPr>
            <w:r>
              <w:rPr/>
              <w:t>August 5, 2026</w:t>
            </w:r>
          </w:p>
        </w:tc>
      </w:tr>
      <w:tr>
        <w:trPr>
          <w:trHeight w:val="240" w:hRule="atLeast"/>
        </w:trPr>
        <w:tc>
          <w:tcPr>
            <w:tcW w:w="3770" w:type="dxa"/>
            <w:tcBorders/>
            <w:vAlign w:val="center"/>
          </w:tcPr>
          <w:p>
            <w:pPr>
              <w:pStyle w:val="TableContents"/>
              <w:bidi w:val="0"/>
              <w:spacing w:before="0" w:after="283"/>
              <w:jc w:val="left"/>
              <w:rPr>
                <w:sz w:val="4"/>
                <w:szCs w:val="4"/>
              </w:rPr>
            </w:pPr>
            <w:r>
              <w:rPr>
                <w:sz w:val="4"/>
                <w:szCs w:val="4"/>
              </w:rPr>
            </w:r>
          </w:p>
        </w:tc>
        <w:tc>
          <w:tcPr>
            <w:tcW w:w="4178" w:type="dxa"/>
            <w:gridSpan w:val="2"/>
            <w:tcBorders/>
            <w:vAlign w:val="center"/>
          </w:tcPr>
          <w:p>
            <w:pPr>
              <w:pStyle w:val="TableContents"/>
              <w:bidi w:val="0"/>
              <w:spacing w:before="0" w:after="283"/>
              <w:jc w:val="left"/>
              <w:rPr>
                <w:sz w:val="4"/>
                <w:szCs w:val="4"/>
              </w:rPr>
            </w:pPr>
            <w:r>
              <w:rPr>
                <w:sz w:val="4"/>
                <w:szCs w:val="4"/>
              </w:rPr>
            </w:r>
          </w:p>
        </w:tc>
        <w:tc>
          <w:tcPr>
            <w:tcW w:w="2257" w:type="dxa"/>
            <w:gridSpan w:val="2"/>
            <w:tcBorders/>
            <w:vAlign w:val="center"/>
          </w:tcPr>
          <w:p>
            <w:pPr>
              <w:pStyle w:val="TableContents"/>
              <w:bidi w:val="0"/>
              <w:spacing w:before="0" w:after="283"/>
              <w:jc w:val="left"/>
              <w:rPr>
                <w:sz w:val="4"/>
                <w:szCs w:val="4"/>
              </w:rPr>
            </w:pPr>
            <w:r>
              <w:rPr>
                <w:sz w:val="4"/>
                <w:szCs w:val="4"/>
              </w:rPr>
            </w:r>
          </w:p>
        </w:tc>
      </w:tr>
      <w:tr>
        <w:trPr/>
        <w:tc>
          <w:tcPr>
            <w:tcW w:w="3770"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Weiguo Su</w:t>
            </w:r>
          </w:p>
          <w:p>
            <w:pPr>
              <w:pStyle w:val="TableContents"/>
              <w:bidi w:val="0"/>
              <w:spacing w:before="0" w:after="20"/>
              <w:jc w:val="center"/>
              <w:rPr>
                <w:rFonts w:ascii="Times New Roman" w:hAnsi="Times New Roman"/>
                <w:sz w:val="20"/>
              </w:rPr>
            </w:pPr>
            <w:r>
              <w:rPr>
                <w:rFonts w:ascii="Times New Roman" w:hAnsi="Times New Roman"/>
                <w:sz w:val="20"/>
              </w:rPr>
              <w:t>Weiguo Su, Ph.D.</w:t>
            </w:r>
          </w:p>
        </w:tc>
        <w:tc>
          <w:tcPr>
            <w:tcW w:w="122" w:type="dxa"/>
            <w:tcBorders/>
            <w:vAlign w:val="bottom"/>
          </w:tcPr>
          <w:p>
            <w:pPr>
              <w:pStyle w:val="TableContents"/>
              <w:bidi w:val="0"/>
              <w:spacing w:before="0" w:after="283"/>
              <w:jc w:val="left"/>
              <w:rPr/>
            </w:pPr>
            <w:r>
              <w:rPr/>
              <w:t>  </w:t>
            </w:r>
          </w:p>
        </w:tc>
        <w:tc>
          <w:tcPr>
            <w:tcW w:w="4056"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54" w:type="dxa"/>
            <w:tcBorders/>
          </w:tcPr>
          <w:p>
            <w:pPr>
              <w:pStyle w:val="TableContents"/>
              <w:bidi w:val="0"/>
              <w:spacing w:before="0" w:after="283"/>
              <w:jc w:val="center"/>
              <w:rPr/>
            </w:pPr>
            <w:r>
              <w:rPr/>
              <w:t>August 5, 2026</w:t>
            </w:r>
          </w:p>
        </w:tc>
      </w:tr>
    </w:tbl>
    <w:p>
      <w:pPr>
        <w:pStyle w:val="TextBody"/>
        <w:bidi w:val="0"/>
        <w:spacing w:before="0" w:after="0"/>
        <w:jc w:val="right"/>
        <w:rPr>
          <w:rFonts w:ascii="Times New Roman" w:hAnsi="Times New Roman"/>
          <w:b/>
          <w:sz w:val="20"/>
        </w:rPr>
      </w:pPr>
      <w:bookmarkStart w:id="29" w:name="d150354dex12.htm"/>
      <w:bookmarkStart w:id="30" w:name="ksd150354dex12"/>
      <w:bookmarkEnd w:id="29"/>
      <w:bookmarkEnd w:id="30"/>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b/>
          <w:sz w:val="20"/>
        </w:rPr>
      </w:pPr>
      <w:r>
        <w:rPr>
          <w:rFonts w:ascii="Times New Roman" w:hAnsi="Times New Roman"/>
          <w:b/>
          <w:sz w:val="20"/>
          <w:u w:val="single"/>
        </w:rPr>
        <w:t>OPEN MARKET SALE AGREEMENT</w:t>
      </w:r>
      <w:r>
        <w:rPr>
          <w:rFonts w:ascii="Times New Roman" w:hAnsi="Times New Roman"/>
          <w:b/>
          <w:sz w:val="20"/>
        </w:rPr>
        <w:t xml:space="preserve">SM </w:t>
      </w:r>
    </w:p>
    <w:p>
      <w:pPr>
        <w:pStyle w:val="TextBody"/>
        <w:bidi w:val="0"/>
        <w:spacing w:before="240" w:after="0"/>
        <w:jc w:val="righ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ImageneBio, Inc., a Delaware corporation (the “</w:t>
      </w:r>
      <w:r>
        <w:rPr>
          <w:rFonts w:ascii="Times New Roman" w:hAnsi="Times New Roman"/>
          <w:b/>
          <w:sz w:val="20"/>
        </w:rPr>
        <w:t>Company</w:t>
      </w:r>
      <w:r>
        <w:rPr>
          <w:rFonts w:ascii="Times New Roman" w:hAnsi="Times New Roman"/>
          <w:sz w:val="20"/>
        </w:rPr>
        <w:t>”), proposes, subject to the terms and conditions stated herein, to issue and sell from time to time through Jefferies LLC, as sales agent and/or principal (the “</w:t>
      </w:r>
      <w:r>
        <w:rPr>
          <w:rFonts w:ascii="Times New Roman" w:hAnsi="Times New Roman"/>
          <w:b/>
          <w:sz w:val="20"/>
        </w:rPr>
        <w:t>Agent</w:t>
      </w:r>
      <w:r>
        <w:rPr>
          <w:rFonts w:ascii="Times New Roman" w:hAnsi="Times New Roman"/>
          <w:sz w:val="20"/>
        </w:rPr>
        <w:t>”), shares of the Company’s common stock, par value $0.001 per share (the “</w:t>
      </w:r>
      <w:r>
        <w:rPr>
          <w:rFonts w:ascii="Times New Roman" w:hAnsi="Times New Roman"/>
          <w:b/>
          <w:sz w:val="20"/>
        </w:rPr>
        <w:t>Common Shares</w:t>
      </w:r>
      <w:r>
        <w:rPr>
          <w:rFonts w:ascii="Times New Roman" w:hAnsi="Times New Roman"/>
          <w:sz w:val="20"/>
        </w:rPr>
        <w:t>”), having an aggregate offering price of up to the Maximum Program Amount (as defined below) on the terms set forth in this agreement (this “</w:t>
      </w:r>
      <w:r>
        <w:rPr>
          <w:rFonts w:ascii="Times New Roman" w:hAnsi="Times New Roman"/>
          <w:b/>
          <w:sz w:val="20"/>
        </w:rPr>
        <w:t>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 DEFINITIONS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For purposes of this Agreement, capitalized terms used herein and not otherwise defined shall have the following respective meanings: </w:t>
      </w:r>
    </w:p>
    <w:p>
      <w:pPr>
        <w:pStyle w:val="TextBody"/>
        <w:bidi w:val="0"/>
        <w:spacing w:before="120" w:after="0"/>
        <w:jc w:val="left"/>
        <w:rPr/>
      </w:pPr>
      <w:r>
        <w:rPr/>
        <w:t>“</w:t>
      </w:r>
      <w:r>
        <w:rPr>
          <w:rFonts w:ascii="Times New Roman" w:hAnsi="Times New Roman"/>
          <w:b/>
          <w:sz w:val="20"/>
        </w:rPr>
        <w:t>Affiliate</w:t>
      </w:r>
      <w:r>
        <w:rPr>
          <w:rFonts w:ascii="Times New Roman" w:hAnsi="Times New Roman"/>
          <w:sz w:val="20"/>
        </w:rPr>
        <w:t xml:space="preserve">”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b/>
          <w:sz w:val="20"/>
        </w:rPr>
        <w:t>Agency Period</w:t>
      </w:r>
      <w:r>
        <w:rPr>
          <w:rFonts w:ascii="Times New Roman" w:hAnsi="Times New Roman"/>
          <w:sz w:val="20"/>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of the Commission thereunder. </w:t>
      </w:r>
    </w:p>
    <w:p>
      <w:pPr>
        <w:pStyle w:val="TextBody"/>
        <w:bidi w:val="0"/>
        <w:spacing w:before="240" w:after="0"/>
        <w:jc w:val="left"/>
        <w:rPr/>
      </w:pPr>
      <w:r>
        <w:rPr/>
        <w:t>“</w:t>
      </w:r>
      <w:r>
        <w:rPr>
          <w:rFonts w:ascii="Times New Roman" w:hAnsi="Times New Roman"/>
          <w:b/>
          <w:sz w:val="20"/>
        </w:rPr>
        <w:t>Floor Price</w:t>
      </w:r>
      <w:r>
        <w:rPr>
          <w:rFonts w:ascii="Times New Roman" w:hAnsi="Times New Roman"/>
          <w:sz w:val="20"/>
        </w:rPr>
        <w:t xml:space="preserve">” means the minimum price per share set by the Company in the applicable Issuance Notice below which the Agent shall not sell Shares during the applicable period set forth in the applicable Issuance Notice, which may be adjusted by the Company at any time during the period set forth in the applicable Issuance Notice by delivering written notice of such change to the Agent and which in no event shall be less than $1.00 without the prior written consent of the Agent, which may be withheld in the Agent’s sole discretion.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34"/>
        <w:gridCol w:w="9771"/>
      </w:tblGrid>
      <w:tr>
        <w:trPr/>
        <w:tc>
          <w:tcPr>
            <w:tcW w:w="434" w:type="dxa"/>
            <w:tcBorders/>
          </w:tcPr>
          <w:p>
            <w:pPr>
              <w:pStyle w:val="TableContents"/>
              <w:bidi w:val="0"/>
              <w:spacing w:before="0" w:after="283"/>
              <w:jc w:val="left"/>
              <w:rPr/>
            </w:pPr>
            <w:r>
              <w:rPr/>
              <w:t>SM </w:t>
            </w:r>
          </w:p>
        </w:tc>
        <w:tc>
          <w:tcPr>
            <w:tcW w:w="9771" w:type="dxa"/>
            <w:tcBorders/>
          </w:tcPr>
          <w:p>
            <w:pPr>
              <w:pStyle w:val="TableContents"/>
              <w:bidi w:val="0"/>
              <w:spacing w:before="0" w:after="0"/>
              <w:jc w:val="left"/>
              <w:rPr/>
            </w:pPr>
            <w:r>
              <w:rPr/>
              <w:t>“</w:t>
            </w:r>
            <w:r>
              <w:rPr>
                <w:rFonts w:ascii="Times New Roman" w:hAnsi="Times New Roman"/>
                <w:sz w:val="20"/>
              </w:rPr>
              <w:t xml:space="preserve">Open Market Sale Agreement” is a service mark of Jefferies LLC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b/>
          <w:sz w:val="20"/>
        </w:rPr>
        <w:t>Issuance Amount</w:t>
      </w:r>
      <w:r>
        <w:rPr>
          <w:rFonts w:ascii="Times New Roman" w:hAnsi="Times New Roman"/>
          <w:sz w:val="20"/>
        </w:rPr>
        <w:t xml:space="preserve">” means the aggregate Sales Price of the Shares to be sold by the Agent pursuant to any Issuance Notice. </w:t>
      </w:r>
    </w:p>
    <w:p>
      <w:pPr>
        <w:pStyle w:val="TextBody"/>
        <w:bidi w:val="0"/>
        <w:spacing w:before="240" w:after="0"/>
        <w:jc w:val="left"/>
        <w:rPr/>
      </w:pPr>
      <w:r>
        <w:rPr/>
        <w:t>“</w:t>
      </w:r>
      <w:r>
        <w:rPr>
          <w:rFonts w:ascii="Times New Roman" w:hAnsi="Times New Roman"/>
          <w:b/>
          <w:sz w:val="20"/>
        </w:rPr>
        <w:t>Issuance Notice</w:t>
      </w:r>
      <w:r>
        <w:rPr>
          <w:rFonts w:ascii="Times New Roman" w:hAnsi="Times New Roman"/>
          <w:sz w:val="20"/>
        </w:rPr>
        <w:t xml:space="preserve">” means a written notice delivered to the Agent by the Company in accordance with this Agreement in the form attached hereto as </w:t>
      </w:r>
      <w:r>
        <w:rPr>
          <w:rFonts w:ascii="Times New Roman" w:hAnsi="Times New Roman"/>
          <w:sz w:val="20"/>
          <w:u w:val="single"/>
        </w:rPr>
        <w:t>Exhibit A</w:t>
      </w:r>
      <w:r>
        <w:rPr>
          <w:rFonts w:ascii="Times New Roman" w:hAnsi="Times New Roman"/>
          <w:sz w:val="20"/>
        </w:rPr>
        <w:t xml:space="preserve"> that is executed by its Chief Executive Officer or Chief Financial Officer. </w:t>
      </w:r>
    </w:p>
    <w:p>
      <w:pPr>
        <w:pStyle w:val="TextBody"/>
        <w:bidi w:val="0"/>
        <w:spacing w:before="240" w:after="0"/>
        <w:jc w:val="left"/>
        <w:rPr/>
      </w:pPr>
      <w:r>
        <w:rPr/>
        <w:t>“</w:t>
      </w:r>
      <w:r>
        <w:rPr>
          <w:rFonts w:ascii="Times New Roman" w:hAnsi="Times New Roman"/>
          <w:b/>
          <w:sz w:val="20"/>
        </w:rPr>
        <w:t>Issuance Notice Date</w:t>
      </w:r>
      <w:r>
        <w:rPr>
          <w:rFonts w:ascii="Times New Roman" w:hAnsi="Times New Roman"/>
          <w:sz w:val="20"/>
        </w:rPr>
        <w:t xml:space="preserve">” means any Trading Day during the Agency Period that an Issuance Notice is delivered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Issuance Price</w:t>
      </w:r>
      <w:r>
        <w:rPr>
          <w:rFonts w:ascii="Times New Roman" w:hAnsi="Times New Roman"/>
          <w:sz w:val="20"/>
        </w:rPr>
        <w:t xml:space="preserve">” means the Sales Price less the Selling Commission. </w:t>
      </w:r>
    </w:p>
    <w:p>
      <w:pPr>
        <w:pStyle w:val="TextBody"/>
        <w:bidi w:val="0"/>
        <w:spacing w:before="240" w:after="0"/>
        <w:jc w:val="left"/>
        <w:rPr/>
      </w:pPr>
      <w:r>
        <w:rPr/>
        <w:t>“</w:t>
      </w:r>
      <w:r>
        <w:rPr>
          <w:rFonts w:ascii="Times New Roman" w:hAnsi="Times New Roman"/>
          <w:b/>
          <w:sz w:val="20"/>
        </w:rPr>
        <w:t>Maximum Program Amount</w:t>
      </w:r>
      <w:r>
        <w:rPr>
          <w:rFonts w:ascii="Times New Roman" w:hAnsi="Times New Roman"/>
          <w:sz w:val="20"/>
        </w:rPr>
        <w:t xml:space="preserve">”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or a corporation, partnership, limited liability company, trust, incorporated or unincorporated association, joint venture, joint stock company, governmental authority or other entity of any kind. </w:t>
      </w:r>
    </w:p>
    <w:p>
      <w:pPr>
        <w:pStyle w:val="TextBody"/>
        <w:bidi w:val="0"/>
        <w:spacing w:before="240" w:after="0"/>
        <w:jc w:val="left"/>
        <w:rPr/>
      </w:pPr>
      <w:r>
        <w:rPr/>
        <w:t>“</w:t>
      </w:r>
      <w:r>
        <w:rPr>
          <w:rFonts w:ascii="Times New Roman" w:hAnsi="Times New Roman"/>
          <w:b/>
          <w:sz w:val="20"/>
        </w:rPr>
        <w:t>Principal Market</w:t>
      </w:r>
      <w:r>
        <w:rPr>
          <w:rFonts w:ascii="Times New Roman" w:hAnsi="Times New Roman"/>
          <w:sz w:val="20"/>
        </w:rPr>
        <w:t xml:space="preserve">” means The Nasdaq Capital Market or such other national securities exchange on which the Common Shares, including any Shares, are then listed. </w:t>
      </w:r>
    </w:p>
    <w:p>
      <w:pPr>
        <w:pStyle w:val="TextBody"/>
        <w:bidi w:val="0"/>
        <w:spacing w:before="240" w:after="0"/>
        <w:jc w:val="left"/>
        <w:rPr/>
      </w:pPr>
      <w:r>
        <w:rPr/>
        <w:t>“</w:t>
      </w:r>
      <w:r>
        <w:rPr>
          <w:rFonts w:ascii="Times New Roman" w:hAnsi="Times New Roman"/>
          <w:b/>
          <w:sz w:val="20"/>
        </w:rPr>
        <w:t>Rule 462(b) Registration Statement</w:t>
      </w:r>
      <w:r>
        <w:rPr>
          <w:rFonts w:ascii="Times New Roman" w:hAnsi="Times New Roman"/>
          <w:sz w:val="20"/>
        </w:rPr>
        <w:t xml:space="preserve">” means any registration statement filed by the Company pursuant to Rule 462(b) under the Securities Act in connection with the offer and sale of Shares. </w:t>
      </w:r>
    </w:p>
    <w:p>
      <w:pPr>
        <w:pStyle w:val="TextBody"/>
        <w:bidi w:val="0"/>
        <w:spacing w:before="240" w:after="0"/>
        <w:jc w:val="left"/>
        <w:rPr/>
      </w:pPr>
      <w:r>
        <w:rPr/>
        <w:t>“</w:t>
      </w:r>
      <w:r>
        <w:rPr>
          <w:rFonts w:ascii="Times New Roman" w:hAnsi="Times New Roman"/>
          <w:b/>
          <w:sz w:val="20"/>
        </w:rPr>
        <w:t>Sales Price</w:t>
      </w:r>
      <w:r>
        <w:rPr>
          <w:rFonts w:ascii="Times New Roman" w:hAnsi="Times New Roman"/>
          <w:sz w:val="20"/>
        </w:rPr>
        <w:t xml:space="preserve">” means the actual sale execution price of each Share placed by the Agent pursuant to this Agreement.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of the Commission thereunder. </w:t>
      </w:r>
    </w:p>
    <w:p>
      <w:pPr>
        <w:pStyle w:val="TextBody"/>
        <w:bidi w:val="0"/>
        <w:spacing w:before="240" w:after="0"/>
        <w:jc w:val="left"/>
        <w:rPr/>
      </w:pPr>
      <w:r>
        <w:rPr/>
        <w:t>“</w:t>
      </w:r>
      <w:r>
        <w:rPr>
          <w:rFonts w:ascii="Times New Roman" w:hAnsi="Times New Roman"/>
          <w:b/>
          <w:sz w:val="20"/>
        </w:rPr>
        <w:t>Selling Commission</w:t>
      </w:r>
      <w:r>
        <w:rPr>
          <w:rFonts w:ascii="Times New Roman" w:hAnsi="Times New Roman"/>
          <w:sz w:val="20"/>
        </w:rPr>
        <w:t xml:space="preserve">” means three percent (3.0%) of the gross proceeds of Shares sold pursuant to this Agreement, or as otherwise agreed between the Company and the Agent with respect to any Shares sold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Settlement Date</w:t>
      </w:r>
      <w:r>
        <w:rPr>
          <w:rFonts w:ascii="Times New Roman" w:hAnsi="Times New Roman"/>
          <w:sz w:val="20"/>
        </w:rPr>
        <w:t xml:space="preserve">” means the first business day, or such other time period as required by the Exchange Act or by the rules promulgated thereunder, following each Trading Day during the period set forth in the applicable Issuance Notice on which Shares are sold pursuant to this Agreement, when the Company shall deliver to the Agent the amount of Shares sold on such Trading Day and the Agent shall deliver to the Company the Issuance Price received on such sales.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Company’s Common Shares issued or issuable pursuant to this Agreement.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any day on which the Principal Market is open for trading.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 REPRESENTATIONS AND WARRANTIES OF THE COMPANY </w:t>
      </w:r>
    </w:p>
    <w:p>
      <w:pPr>
        <w:pStyle w:val="TextBody"/>
        <w:bidi w:val="0"/>
        <w:spacing w:before="120" w:after="0"/>
        <w:jc w:val="left"/>
        <w:rPr>
          <w:rFonts w:ascii="Times New Roman" w:hAnsi="Times New Roman"/>
          <w:sz w:val="20"/>
        </w:rPr>
      </w:pPr>
      <w:r>
        <w:rPr>
          <w:rFonts w:ascii="Times New Roman" w:hAnsi="Times New Roman"/>
          <w:sz w:val="20"/>
        </w:rPr>
        <w:t>The Company represents and warrants to, and agrees with, the Agent that as of (1) the date of this Agreement, (2) each Issuance Notice Date, (3) each Settlement Date, (4) each Triggering Event Date (as defined in Section 4(o)) with respect to which the Company is obligated to deliver a certificate pursuant to Section 4(o) and (5) as of each Time of Sale (as defined below) (each of the times referenced above is referred to herein as a “</w:t>
      </w:r>
      <w:r>
        <w:rPr>
          <w:rFonts w:ascii="Times New Roman" w:hAnsi="Times New Roman"/>
          <w:b/>
          <w:sz w:val="20"/>
        </w:rPr>
        <w:t>Representation Date</w:t>
      </w:r>
      <w:r>
        <w:rPr>
          <w:rFonts w:ascii="Times New Roman" w:hAnsi="Times New Roman"/>
          <w:sz w:val="20"/>
        </w:rPr>
        <w:t xml:space="preserve">”), except (i) as may be disclosed in the Prospectus (as defined below) (including any documents incorporated by reference therein and any supplements thereto) on or before a Representation Date and (ii) insofar as such representation, warranty or agreement specifies a different time as of which such representation, warranty or agreement is made: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w:t>
      </w:r>
      <w:r>
        <w:rPr>
          <w:rFonts w:ascii="Times New Roman" w:hAnsi="Times New Roman"/>
          <w:sz w:val="20"/>
        </w:rPr>
        <w:t>. The Company has prepared and will file with the Commission a shelf registration statement on Form S-3 that contains a base prospectus. Such registration statement registers or will register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hAnsi="Times New Roman"/>
          <w:b/>
          <w:sz w:val="20"/>
        </w:rPr>
        <w:t>Registration Statement</w:t>
      </w:r>
      <w:r>
        <w:rPr>
          <w:rFonts w:ascii="Times New Roman" w:hAnsi="Times New Roman"/>
          <w:sz w:val="20"/>
        </w:rPr>
        <w:t>,” and the base prospectus constituting a part of such registration statement(s), together with any prospectus supplement filed with the Commission pursuant to Rule 424(b) under the Securities Act relating to a particular issuance of the Shares (including Shares to be issued from time to time), including all documents incorporated or deemed to be incorporated therein by reference pursuant to Item 12 of Form S-3 under the Securities Act, in each case, as from time to time amended or supplemented, is referred to herein as the “</w:t>
      </w:r>
      <w:r>
        <w:rPr>
          <w:rFonts w:ascii="Times New Roman" w:hAnsi="Times New Roman"/>
          <w:b/>
          <w:sz w:val="20"/>
        </w:rPr>
        <w:t>Prospectus</w:t>
      </w:r>
      <w:r>
        <w:rPr>
          <w:rFonts w:ascii="Times New Roman" w:hAnsi="Times New Roman"/>
          <w:sz w:val="20"/>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hAnsi="Times New Roman"/>
          <w:b/>
          <w:sz w:val="20"/>
        </w:rPr>
        <w:t>Prospectus</w:t>
      </w:r>
      <w:r>
        <w:rPr>
          <w:rFonts w:ascii="Times New Roman" w:hAnsi="Times New Roman"/>
          <w:sz w:val="20"/>
        </w:rPr>
        <w:t>” shall refer to such revised prospectus from and after the time it is first provided to the Agent for such use. The Registration Statement at the time it originally became or becomes effective is herein called the “</w:t>
      </w:r>
      <w:r>
        <w:rPr>
          <w:rFonts w:ascii="Times New Roman" w:hAnsi="Times New Roman"/>
          <w:b/>
          <w:sz w:val="20"/>
        </w:rPr>
        <w:t>Original Registration Statement</w:t>
      </w:r>
      <w:r>
        <w:rPr>
          <w:rFonts w:ascii="Times New Roman" w:hAnsi="Times New Roman"/>
          <w:sz w:val="20"/>
        </w:rPr>
        <w:t xml:space="preserve">.” As used in this Agreement, the terms “amend,” “amendment” or “supplement” when applied to the Registration Statement or the Prospectus, as applicable, shall be deemed to include the filing by the Company with the Commission of any document under the Exchange Act after the date hereof or the date of such Prospectus, respectively, that is or is deemed to be incorporated therein by reference. For purposes of this Agreement, except where the context requires otherwise, all references to the Registration Statement, the Prospectus or to any amendment or supplement thereto shall be deemed to include the most recent copy filed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as applicable,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time the Registration Statement was or will be originally declared effective and at the time the Company’s most recent annual report on Form 10-K was filed with the Commission, if later, the Company met or will meet the then-applicable requirements for use of Form S-3 under the Securities Act. During the Agency Period, each time the Company files an annual report on Form 10-K the Company will meet the then-applicable requirements for use of Form S-3 under the Securities Act or promptly notify the Agent of any failure to meet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Registration Requirements</w:t>
      </w:r>
      <w:r>
        <w:rPr>
          <w:rFonts w:ascii="Times New Roman" w:hAnsi="Times New Roman"/>
          <w:sz w:val="20"/>
        </w:rPr>
        <w:t xml:space="preserve">. The Original Registration Statement and any Rule 462(b) Registration Statement have been or will be, as applicable, declared effective by the Commission under the Securities Act or will otherwise become effective in accordance with the provisions of the Securities Act prior to the offer and sale of the Shares pursuant to this Agreement. The Company has complied or will comply to the Commission’s satisfaction with any requests of the Commission for additional or supplemental information. No stop order suspending the effectiveness of the Registration Statement or any Rule 462(b) Registration Statement is in effect and no proceedings for such purpose will have been instituted or be pending or, to the knowledge of the Company, be contemplated or threatened by the Commission prior to the offer and sale of the Shares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when filed with the Commission complied or will comply in all material respects with the Securities Act and, if filed with the Commission through EDGAR (except as may be permitted by Regulation S-T under the Securities Act), was or will be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in Section 4(e))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considered together (collectively, the “</w:t>
      </w:r>
      <w:r>
        <w:rPr>
          <w:rFonts w:ascii="Times New Roman" w:hAnsi="Times New Roman"/>
          <w:b/>
          <w:sz w:val="20"/>
        </w:rPr>
        <w:t>Time of Sale Information</w:t>
      </w:r>
      <w:r>
        <w:rPr>
          <w:rFonts w:ascii="Times New Roman" w:hAnsi="Times New Roman"/>
          <w:sz w:val="20"/>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hAnsi="Times New Roman"/>
          <w:sz w:val="20"/>
          <w:u w:val="single"/>
        </w:rPr>
        <w:t>Section 6</w:t>
      </w:r>
      <w:r>
        <w:rPr>
          <w:rFonts w:ascii="Times New Roman" w:hAnsi="Times New Roman"/>
          <w:sz w:val="20"/>
        </w:rPr>
        <w:t xml:space="preserve"> below. There are no contracts or other documents required to be described in the Prospectus or to be filed as exhibits to the Registration Statement which have not been or will not be described or filed as required. The Registration Statement and the offer and sale of the Shares as contemplated hereby meet or will meet the requirements of Rule 415 under the Securities Act and comply in all material respects with said rule.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Ineligible Issuer Status</w:t>
      </w:r>
      <w:r>
        <w:rPr>
          <w:rFonts w:ascii="Times New Roman" w:hAnsi="Times New Roman"/>
          <w:sz w:val="20"/>
        </w:rPr>
        <w:t xml:space="preserve">.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each Representation Date,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relating to the offering of the Shares, if any, furnished to the Agent before first use, the Company has not prepared, used or referred to, and will not, without the Agent’s prior consent, prepare, use or refer to, any Free Writing Prospectus relating to the offering of the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Incorporated Documents</w:t>
      </w:r>
      <w:r>
        <w:rPr>
          <w:rFonts w:ascii="Times New Roman" w:hAnsi="Times New Roman"/>
          <w:sz w:val="20"/>
        </w:rPr>
        <w:t xml:space="preserve">. The documents incorporated or deemed to be incorporated by reference in the Registration Statement and the Prospectus, at the time they were filed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 The representation and warranty set forth in the immediately preceding sentence does not apply to statements in or omissions from the Registration Statement, any Rule 462(b) Registration Statement, or any post-effective amendment thereto, or the Prospectus, or any amendment or supplements thereto, made in reliance upon and in conformity with the Agent Information (as defined in Section 6(a)) furnished to the Company in writing by the Agent expressly for use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Exchange Act Compliance</w:t>
      </w:r>
      <w:r>
        <w:rPr>
          <w:rFonts w:ascii="Times New Roman" w:hAnsi="Times New Roman"/>
          <w:sz w:val="20"/>
        </w:rPr>
        <w:t xml:space="preserve">. The documents incorporated or deemed to be incorporated by reference in the Registration Statement and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Statistical and Market-Related Data</w:t>
      </w:r>
      <w:r>
        <w:rPr>
          <w:rFonts w:ascii="Times New Roman" w:hAnsi="Times New Roman"/>
          <w:sz w:val="20"/>
        </w:rPr>
        <w:t xml:space="preserve">.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Disclosure Controls and Procedures; Deficiencies in or Changes to Internal Control Over Financial Reporting</w:t>
      </w:r>
      <w:r>
        <w:rPr>
          <w:rFonts w:ascii="Times New Roman" w:hAnsi="Times New Roman"/>
          <w:sz w:val="20"/>
        </w:rPr>
        <w:t xml:space="preserve">. Except as described in the Registration Statement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described in the Registration Statement and the Prospectus,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Except as described in the Registration Statement and the Prospectus, the Company is not aware of any change in its internal control over financial reporting that has occurred during its most recent fiscal quarter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This Agreement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Authorization of the Shares</w:t>
      </w:r>
      <w:r>
        <w:rPr>
          <w:rFonts w:ascii="Times New Roman" w:hAnsi="Times New Roman"/>
          <w:sz w:val="20"/>
        </w:rPr>
        <w:t xml:space="preserve">.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No Applicable Registration or Other Similar Rights</w:t>
      </w:r>
      <w:r>
        <w:rPr>
          <w:rFonts w:ascii="Times New Roman" w:hAnsi="Times New Roman"/>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No Material Adverse Change</w:t>
      </w:r>
      <w:r>
        <w:rPr>
          <w:rFonts w:ascii="Times New Roman" w:hAnsi="Times New Roman"/>
          <w:sz w:val="20"/>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hAnsi="Times New Roman"/>
          <w:b/>
          <w:sz w:val="20"/>
        </w:rPr>
        <w:t>Material Adverse Change</w:t>
      </w:r>
      <w:r>
        <w:rPr>
          <w:rFonts w:ascii="Times New Roman" w:hAnsi="Times New Roman"/>
          <w:sz w:val="20"/>
        </w:rPr>
        <w:t xml:space="preserve">”);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Independent Accountants</w:t>
      </w:r>
      <w:r>
        <w:rPr>
          <w:rFonts w:ascii="Times New Roman" w:hAnsi="Times New Roman"/>
          <w:sz w:val="20"/>
        </w:rPr>
        <w:t>. PricewaterhouseCoopers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hAnsi="Times New Roman"/>
          <w:b/>
          <w:sz w:val="20"/>
        </w:rPr>
        <w:t>PCAOB</w:t>
      </w:r>
      <w:r>
        <w:rPr>
          <w:rFonts w:ascii="Times New Roman" w:hAnsi="Times New Roman"/>
          <w:sz w:val="20"/>
        </w:rPr>
        <w:t xml:space="preserve">”),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Financial Statements</w:t>
      </w:r>
      <w:r>
        <w:rPr>
          <w:rFonts w:ascii="Times New Roman" w:hAnsi="Times New Roman"/>
          <w:sz w:val="20"/>
        </w:rPr>
        <w:t xml:space="preserve">. The financial statements included or incorporated by reference in the Registration Statement and the Prospectus present fairly in all material respects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All disclosures contained in the Registration Statement and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Company’s Accounting System</w:t>
      </w:r>
      <w:r>
        <w:rPr>
          <w:rFonts w:ascii="Times New Roman" w:hAnsi="Times New Roman"/>
          <w:sz w:val="20"/>
        </w:rPr>
        <w:t xml:space="preserve">.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Incorporation and Good Standing of the Company</w:t>
      </w:r>
      <w:r>
        <w:rPr>
          <w:rFonts w:ascii="Times New Roman" w:hAnsi="Times New Roman"/>
          <w:sz w:val="20"/>
        </w:rPr>
        <w:t xml:space="preserve">. The Company has been duly incorporated and is validly existing as a corporation in good standing under the laws of the State of Delaware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be so qualified or in good standing (where such concept exists) would not, individually or in the aggregate,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Subsidiaries.</w:t>
      </w:r>
      <w:r>
        <w:rPr>
          <w:rFonts w:ascii="Times New Roman" w:hAnsi="Times New Roman"/>
          <w:sz w:val="20"/>
        </w:rPr>
        <w:t xml:space="preserve">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except where failure to do so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reasonably be expected to result in a Material Adverse Change, whether by reason of the ownership or leasing of property or the conduct of business.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 or those entities becoming subsidiaries after the filing of such Form 10-K.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Capitalization and Other Capital Stock Matters</w:t>
      </w:r>
      <w:r>
        <w:rPr>
          <w:rFonts w:ascii="Times New Roman" w:hAnsi="Times New Roman"/>
          <w:sz w:val="20"/>
        </w:rPr>
        <w:t xml:space="preserve">.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 the information required to be shown with respect to such plans, arrangements, options and rights.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Stock Exchange Listing</w:t>
      </w:r>
      <w:r>
        <w:rPr>
          <w:rFonts w:ascii="Times New Roman" w:hAnsi="Times New Roman"/>
          <w:sz w:val="20"/>
        </w:rPr>
        <w:t xml:space="preserve">.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Non-Contravention of Existing Instruments; No Further Authorizations or Approvals Required</w:t>
      </w:r>
      <w:r>
        <w:rPr>
          <w:rFonts w:ascii="Times New Roman" w:hAnsi="Times New Roman"/>
          <w:sz w:val="20"/>
        </w:rPr>
        <w:t>. Neither the Company nor any of its subsidiaries is (A) in violation of its certificate of incorporation or by-laws, partnership agreement or operating agreement or similar organizational documents, as applicable, or (B) in default (or, with the giving of notice or lapse of time, would be in default) (“</w:t>
      </w:r>
      <w:r>
        <w:rPr>
          <w:rFonts w:ascii="Times New Roman" w:hAnsi="Times New Roman"/>
          <w:b/>
          <w:sz w:val="20"/>
        </w:rPr>
        <w:t>Default</w:t>
      </w:r>
      <w:r>
        <w:rPr>
          <w:rFonts w:ascii="Times New Roman" w:hAnsi="Times New Roman"/>
          <w:sz w:val="20"/>
        </w:rPr>
        <w:t xml:space="preserve">”) under any indenture, loan, credit agreement, note, lease, license agreement, contract, franchise or other instrument (including, without limitation,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hAnsi="Times New Roman"/>
          <w:b/>
          <w:sz w:val="20"/>
        </w:rPr>
        <w:t>Existing Instrument</w:t>
      </w:r>
      <w:r>
        <w:rPr>
          <w:rFonts w:ascii="Times New Roman" w:hAnsi="Times New Roman"/>
          <w:sz w:val="20"/>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certificate of incorporation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with respect to clauses (ii) and (iii)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hAnsi="Times New Roman"/>
          <w:b/>
          <w:sz w:val="20"/>
        </w:rPr>
        <w:t>Debt Repayment Triggering Event</w:t>
      </w:r>
      <w:r>
        <w:rPr>
          <w:rFonts w:ascii="Times New Roman" w:hAnsi="Times New Roman"/>
          <w:sz w:val="20"/>
        </w:rPr>
        <w:t xml:space="preserve">”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No Material Actions or Proceedings</w:t>
      </w:r>
      <w:r>
        <w:rPr>
          <w:rFonts w:ascii="Times New Roman" w:hAnsi="Times New Roman"/>
          <w:sz w:val="20"/>
        </w:rPr>
        <w:t xml:space="preserve">. Except as otherwise disclosed in the Prospectus, there is no action, suit, proceeding, inquiry or investigation brought by or before any legal or governmental entity now pending or, to the knowledge of the Company, threatened, against or affecting the Company or any of its subsidiaries, which would be reasonably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Intellectual Property Rights</w:t>
      </w:r>
      <w:r>
        <w:rPr>
          <w:rFonts w:ascii="Times New Roman" w:hAnsi="Times New Roman"/>
          <w:sz w:val="20"/>
        </w:rPr>
        <w:t>. Except as otherwise disclosed in the Registration Statement or the Prospectus, the Company and its subsidiaries own, or have obtained valid and enforceable licenses or legally sufficient rights to use all material inventions, patent applications, patents, trademarks, trade names, service names, copyrights, trade secrets, domain names, technology, know-how and other intellectual property (collectively, “</w:t>
      </w:r>
      <w:r>
        <w:rPr>
          <w:rFonts w:ascii="Times New Roman" w:hAnsi="Times New Roman"/>
          <w:b/>
          <w:sz w:val="20"/>
        </w:rPr>
        <w:t>Intellectual Property</w:t>
      </w:r>
      <w:r>
        <w:rPr>
          <w:rFonts w:ascii="Times New Roman" w:hAnsi="Times New Roman"/>
          <w:sz w:val="20"/>
        </w:rPr>
        <w:t xml:space="preserve">”) used in or necessary in all material respects for the conduct of their respective businesses as currently conducted or as currently proposed to be conducted in each case as described in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Statement and the Prospectus (collectively, the “</w:t>
      </w:r>
      <w:r>
        <w:rPr>
          <w:rFonts w:ascii="Times New Roman" w:hAnsi="Times New Roman"/>
          <w:b/>
          <w:sz w:val="20"/>
        </w:rPr>
        <w:t>Company Intellectual Property</w:t>
      </w:r>
      <w:r>
        <w:rPr>
          <w:rFonts w:ascii="Times New Roman" w:hAnsi="Times New Roman"/>
          <w:sz w:val="20"/>
        </w:rPr>
        <w:t>”), including material Company Intellectual Property owned or purported to be owned by the Company or any of its subsidiaries (“</w:t>
      </w:r>
      <w:r>
        <w:rPr>
          <w:rFonts w:ascii="Times New Roman" w:hAnsi="Times New Roman"/>
          <w:b/>
          <w:sz w:val="20"/>
        </w:rPr>
        <w:t>Company-Owned Intellectual Property</w:t>
      </w:r>
      <w:r>
        <w:rPr>
          <w:rFonts w:ascii="Times New Roman" w:hAnsi="Times New Roman"/>
          <w:sz w:val="20"/>
        </w:rPr>
        <w:t>”) and material Company Intellectual Property licensed to the Company or any of its subsidiaries (“</w:t>
      </w:r>
      <w:r>
        <w:rPr>
          <w:rFonts w:ascii="Times New Roman" w:hAnsi="Times New Roman"/>
          <w:b/>
          <w:sz w:val="20"/>
        </w:rPr>
        <w:t>Company-Licensed Intellectual Property</w:t>
      </w:r>
      <w:r>
        <w:rPr>
          <w:rFonts w:ascii="Times New Roman" w:hAnsi="Times New Roman"/>
          <w:sz w:val="20"/>
        </w:rPr>
        <w:t xml:space="preserve">”). Except as disclosed in the Registration Statement and the Prospectus, to the knowledge of the Company, neither the commercial development nor any sale of any of the proposed products or processes of the Company or any of its subsidiaries, as described in the Registration Statement and the Prospectus, infringes, misappropriates or otherwise violates, or would, upon the commercialization of such proposed products or processes in the manner currently contemplated by the Company, infringe, misappropriate or otherwise violate any Intellectual Property rights of any third party, except as would not reasonably be expected to be material to the Company and its subsidiaries, taken as a whole. The material Company-Owned Intellectual Property has not been adjudged by a court of competent jurisdiction to be invalid or unenforceable, in whole or in part, and to the knowledge of the Company, there are no facts that would reasonably be expected to form a basis for such adjudication. To the Company’s knowledge: (i) the Company or one of its subsidiaries owns all right, title and interest in and to the material Company-Owned Intellectual Property; and (ii) there is no infringement by third parties of any Company-Owned Intellectual Property. There is no pending material action, suit, proceeding or claim by a third party, and the Company has not received any written allegation threatening any material action, suit, proceeding or claim by a third party: (A) challenging the Company’s rights in or to any material Company-Owned Intellectual Property; (B) challenging the validity, enforceability or scope of any material Company-Owned Intellectual Property; or (C) asserting that the Company or any subsidiary has infringed or otherwise violated any Intellectual Property rights of others, or that commercialization in the manner currently contemplated by the Company of any proposed product or process, as described in the Registration Statement or the Prospectus as under development, would infringe or otherwise violate, any Intellectual Property rights of others; and, in each case (A)-(C), to the knowledge of the Company, there are no facts that would reasonably be expected to form a basis for any such material action, suit, proceeding or claim. The Company and each of its subsidiaries have complied in all material respects with each material agreement pursuant to which material Company-Licensed Intellectual Property has been licensed to the Company or such subsidiary, and, to the knowledge of the Company, all such agreements are in full force and effect. To the knowledge of the Company, there are no material defects in connection with the filing, prosecution or maintenance of any issued patent or pending patent application included in the material Company-Owned Intellectual Property that would reasonably be expected to render such Intellectual Property invalid, unenforceable or abandoned. The Company and each of its subsidiaries have taken commercially reasonable and customary steps to protect, maintain and safeguard the Company-Owned Intellectual Property, including the execution of appropriate nondisclosure agreements, confidentiality agreements, and invention assignment agreements with their employees, and to the knowledge of the Company, no employee of the Company or its subsidiaries is in or has been in material violation of any term of such agreements or any restrictive covenant to or with a former employer where the basis of such violation relates to such employee’s employment with the Company or its subsidiaries and would reasonably be expected to adversely affect the rights of the Company or any of its subsidiaries in any material Company-Owned Intellectual Property. To the knowledge of the Company, each current and former employee, consultant and contractor who has contributed to the development of any material Company-Owned Intellectual Property has validly assigned to the Company all, right, title and interest in and to such Intellectual Property pursuant to an employment agreement, consulting agreement or other written agreement. To the knowledge of the Company, with respect to the patents and patent applications included in the material Company-Owned Intellectual Property, the Company employees and the parties prosecuting such applications have complied in all material respects with their duty of candor and good faith as required by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States Patent and Trademark Office and any relevant foreign patent authority to the extent such authority imposes comparable disclosure obligations in connection with such patents and patent applications. To the knowledge of the Company, none of the Company-Owned Intellectual Property or technology (including information technology and outsourced arrangements) employed by the Company or its subsidiaries has been obtained or is being used by the Company or its subsidiaries in violation of any contractual obligation binding on the Company or its subsidiaries or any of their respective officers, directors or employees or otherwise in violation of the rights of any third party, in each case, except as would not reasonably be expected to be material to the Company and its subsidiaries, taken as a whole. The Company believes that certain of the proposed products described in the Registration Statement and the Prospectus as under development by the Company and its subsidiaries fall within the scope of the claims of one or more patents, or are the subject of one or more patent applications included in the Company-Owned Intellectual Property or Company-Licensed Intellectual Property; provided that no representation is made that any patent application will issue as a patent or that any issued patent will contain claims of any particular scope.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All Necessary Permits, etc</w:t>
      </w:r>
      <w:r>
        <w:rPr>
          <w:rFonts w:ascii="Times New Roman" w:hAnsi="Times New Roman"/>
          <w:sz w:val="20"/>
        </w:rPr>
        <w:t>. Except as otherwise disclosed in the Prospectus, the Company and each subsidiary possess such valid and current material certificates, authorizations or permits required by state, federal or foreign regulatory agencies or bodies to conduct their respective businesses as currently conducted and as described in the Registration Statement or the Prospectus (“</w:t>
      </w:r>
      <w:r>
        <w:rPr>
          <w:rFonts w:ascii="Times New Roman" w:hAnsi="Times New Roman"/>
          <w:b/>
          <w:sz w:val="20"/>
        </w:rPr>
        <w:t>Permits</w:t>
      </w:r>
      <w:r>
        <w:rPr>
          <w:rFonts w:ascii="Times New Roman" w:hAnsi="Times New Roman"/>
          <w:sz w:val="20"/>
        </w:rPr>
        <w:t xml:space="preserve">”). Neither the Company nor any of its subsidiaries is in material violation of, or in default under, any of the Permits or has received any notice of proceedings relating to the revocation or modification of, or -noncompliance with, any such Permit.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Title to Properties</w:t>
      </w:r>
      <w:r>
        <w:rPr>
          <w:rFonts w:ascii="Times New Roman" w:hAnsi="Times New Roman"/>
          <w:sz w:val="20"/>
        </w:rPr>
        <w:t xml:space="preserve">. Except as otherwise disclosed in the Prospectus, the Company and its subsidiaries have good and marketable title to all of the real and personal property and other assets reflected as owned in the financial statements referred to in </w:t>
      </w:r>
      <w:r>
        <w:rPr>
          <w:rFonts w:ascii="Times New Roman" w:hAnsi="Times New Roman"/>
          <w:sz w:val="20"/>
          <w:u w:val="single"/>
        </w:rPr>
        <w:t>Section 2(m)</w:t>
      </w:r>
      <w:r>
        <w:rPr>
          <w:rFonts w:ascii="Times New Roman" w:hAnsi="Times New Roman"/>
          <w:sz w:val="20"/>
        </w:rPr>
        <w:t xml:space="preserve"> above (or elsewhere in the Registration Statement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Tax Law Compliance</w:t>
      </w:r>
      <w:r>
        <w:rPr>
          <w:rFonts w:ascii="Times New Roman" w:hAnsi="Times New Roman"/>
          <w:sz w:val="20"/>
        </w:rPr>
        <w:t xml:space="preserve">.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Times New Roman" w:hAnsi="Times New Roman"/>
          <w:sz w:val="20"/>
          <w:u w:val="single"/>
        </w:rPr>
        <w:t>Section 2(m)</w:t>
      </w:r>
      <w:r>
        <w:rPr>
          <w:rFonts w:ascii="Times New Roman" w:hAnsi="Times New Roman"/>
          <w:sz w:val="20"/>
        </w:rPr>
        <w:t xml:space="preserve"> above in respect of all federal, state and foreign income and franchise taxes for all periods as to which the tax liability of the Company or any of its subsidiaries has not been finally determined.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Company Not an “Investment Company.”</w:t>
      </w:r>
      <w:r>
        <w:rPr>
          <w:rFonts w:ascii="Times New Roman" w:hAnsi="Times New Roman"/>
          <w:sz w:val="20"/>
        </w:rPr>
        <w:t xml:space="preserve"> The Company is not, and will not be, either after receipt of payment for the Shares or after the application of the proceeds therefrom as described under “Use of Proceeds” in the Registration Statement or the Prospectus, required to register as an “investment company” as such term is defined in the Investment Company Act of 1940, as amended (the “</w:t>
      </w:r>
      <w:r>
        <w:rPr>
          <w:rFonts w:ascii="Times New Roman" w:hAnsi="Times New Roman"/>
          <w:b/>
          <w:sz w:val="20"/>
        </w:rPr>
        <w:t>Investment Company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Insurance</w:t>
      </w:r>
      <w:r>
        <w:rPr>
          <w:rFonts w:ascii="Times New Roman" w:hAnsi="Times New Roman"/>
          <w:sz w:val="20"/>
        </w:rPr>
        <w:t xml:space="preserve">. Except as otherwise disclosed in the Prospectus, each of the Company and its subsidiaries is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No Price Stabilization or Manipulation; Compliance with Regulation M</w:t>
      </w:r>
      <w:r>
        <w:rPr>
          <w:rFonts w:ascii="Times New Roman" w:hAnsi="Times New Roman"/>
          <w:sz w:val="20"/>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hAnsi="Times New Roman"/>
          <w:b/>
          <w:sz w:val="20"/>
        </w:rPr>
        <w:t>Regulation M”</w:t>
      </w:r>
      <w:r>
        <w:rPr>
          <w:rFonts w:ascii="Times New Roman" w:hAnsi="Times New Roman"/>
          <w:sz w:val="20"/>
        </w:rPr>
        <w:t xml:space="preserve">)) with respect to the Common Shares, whether to facilitate the sale or resale of the Shares or otherwise, and has taken no action which would directly or indirectly violate Regulation M.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Related Party Transactions</w:t>
      </w:r>
      <w:r>
        <w:rPr>
          <w:rFonts w:ascii="Times New Roman" w:hAnsi="Times New Roman"/>
          <w:sz w:val="20"/>
        </w:rPr>
        <w:t xml:space="preserve">. There are no business relationships or related-party transactions involving the Company or any of its subsidiaries or any other person required to be described in the Registration Statement or the Prospectus which have not been described as required.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FINRA Matters</w:t>
      </w:r>
      <w:r>
        <w:rPr>
          <w:rFonts w:ascii="Times New Roman" w:hAnsi="Times New Roman"/>
          <w:sz w:val="20"/>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hAnsi="Times New Roman"/>
          <w:b/>
          <w:sz w:val="20"/>
        </w:rPr>
        <w:t>FINRA</w:t>
      </w:r>
      <w:r>
        <w:rPr>
          <w:rFonts w:ascii="Times New Roman" w:hAnsi="Times New Roman"/>
          <w:sz w:val="20"/>
        </w:rPr>
        <w:t xml:space="preserve">”) rules, and to the Company’s knowledge, any letters, filings or other supplemental information provided to FINRA pursuant to FINRA Rules or NASD Conduct Rules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No Unlawful Contributions or Other Payments</w:t>
      </w:r>
      <w:r>
        <w:rPr>
          <w:rFonts w:ascii="Times New Roman" w:hAnsi="Times New Roman"/>
          <w:sz w:val="20"/>
        </w:rPr>
        <w:t xml:space="preserve">. Except as otherwise disclosed in the Prospectus,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(ee) </w:t>
      </w:r>
      <w:r>
        <w:rPr>
          <w:rFonts w:ascii="Times New Roman" w:hAnsi="Times New Roman"/>
          <w:sz w:val="20"/>
          <w:u w:val="single"/>
        </w:rPr>
        <w:t>Compliance with Environmental Laws</w:t>
      </w:r>
      <w:r>
        <w:rPr>
          <w:rFonts w:ascii="Times New Roman" w:hAnsi="Times New Roman"/>
          <w:sz w:val="20"/>
        </w:rPr>
        <w:t>. Except as described in the Prospectus and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Periodic Review of Costs of Environmental Compliance</w:t>
      </w:r>
      <w:r>
        <w:rPr>
          <w:rFonts w:ascii="Times New Roman" w:hAnsi="Times New Roman"/>
          <w:sz w:val="20"/>
        </w:rPr>
        <w:t xml:space="preserve">.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would reasonably be expected to result in costs or liabilities that could be expected, individually or in the aggregate,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ERISA Compliance</w:t>
      </w:r>
      <w:r>
        <w:rPr>
          <w:rFonts w:ascii="Times New Roman" w:hAnsi="Times New Roman"/>
          <w:sz w:val="20"/>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Times New Roman" w:hAnsi="Times New Roman"/>
          <w:b/>
          <w:sz w:val="20"/>
        </w:rPr>
        <w:t>ERISA</w:t>
      </w:r>
      <w:r>
        <w:rPr>
          <w:rFonts w:ascii="Times New Roman" w:hAnsi="Times New Roman"/>
          <w:sz w:val="20"/>
        </w:rPr>
        <w:t>”)) established or maintained by the Company, its subsidiaries or their “ERISA Affiliates” (as defined below) are in compliance in all material respects with ERISA. “</w:t>
      </w:r>
      <w:r>
        <w:rPr>
          <w:rFonts w:ascii="Times New Roman" w:hAnsi="Times New Roman"/>
          <w:b/>
          <w:sz w:val="20"/>
        </w:rPr>
        <w:t>ERISA Affiliate</w:t>
      </w:r>
      <w:r>
        <w:rPr>
          <w:rFonts w:ascii="Times New Roman" w:hAnsi="Times New Roman"/>
          <w:sz w:val="20"/>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hAnsi="Times New Roman"/>
          <w:b/>
          <w:sz w:val="20"/>
        </w:rPr>
        <w:t>Code</w:t>
      </w:r>
      <w:r>
        <w:rPr>
          <w:rFonts w:ascii="Times New Roman" w:hAnsi="Times New Roman"/>
          <w:sz w:val="20"/>
        </w:rPr>
        <w:t xml:space="preserve">”)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Brokers</w:t>
      </w:r>
      <w:r>
        <w:rPr>
          <w:rFonts w:ascii="Times New Roman" w:hAnsi="Times New Roman"/>
          <w:sz w:val="20"/>
        </w:rPr>
        <w:t xml:space="preserve">. Except as otherwise disclosed in the Prospectus, there is no broker, finder or other party that is entitled to receive from the Company any brokerage or finder’s fee or other fee or commission as a result of any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 Outstanding Loans or Other Extensions of Credit</w:t>
      </w:r>
      <w:r>
        <w:rPr>
          <w:rFonts w:ascii="Times New Roman" w:hAnsi="Times New Roman"/>
          <w:sz w:val="20"/>
        </w:rPr>
        <w:t xml:space="preserve">. The Company does not have any outstanding extension of credit, in the form of a personal loan, to or for any director or executive officer (or equivalent thereof) of the Company except for such extensions of credit as are expressly permitted by Section 13(k)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Compliance with Laws</w:t>
      </w:r>
      <w:r>
        <w:rPr>
          <w:rFonts w:ascii="Times New Roman" w:hAnsi="Times New Roman"/>
          <w:sz w:val="20"/>
        </w:rPr>
        <w:t xml:space="preserve">. The Company and its subsidiaries have been and are in compliance with all applicable laws, rules and regulations, except where failure to be so in compliance would not reasonably be expected, individually or in the aggregate,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Dividend Restrictions</w:t>
      </w:r>
      <w:r>
        <w:rPr>
          <w:rFonts w:ascii="Times New Roman" w:hAnsi="Times New Roman"/>
          <w:sz w:val="20"/>
        </w:rPr>
        <w:t xml:space="preserve">.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Anti-Corruption and Anti-Bribery Laws</w:t>
      </w:r>
      <w:r>
        <w:rPr>
          <w:rFonts w:ascii="Times New Roman" w:hAnsi="Times New Roman"/>
          <w:b/>
          <w:sz w:val="20"/>
        </w:rPr>
        <w:t>.</w:t>
      </w:r>
      <w:r>
        <w:rPr>
          <w:rFonts w:ascii="Times New Roman" w:hAnsi="Times New Roman"/>
          <w:sz w:val="20"/>
        </w:rPr>
        <w:t xml:space="preserve">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hAnsi="Times New Roman"/>
          <w:b/>
          <w:sz w:val="20"/>
        </w:rPr>
        <w:t>FCPA</w:t>
      </w:r>
      <w:r>
        <w:rPr>
          <w:rFonts w:ascii="Times New Roman" w:hAnsi="Times New Roman"/>
          <w:sz w:val="20"/>
        </w:rPr>
        <w:t xml:space="preserve">”),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Money Laundering Laws</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Clinical Data and Regulatory Compliance</w:t>
      </w:r>
      <w:r>
        <w:rPr>
          <w:rFonts w:ascii="Times New Roman" w:hAnsi="Times New Roman"/>
          <w:sz w:val="20"/>
        </w:rPr>
        <w:t>. The preclinical tests and clinical trials, and other studies (collectively, “</w:t>
      </w:r>
      <w:r>
        <w:rPr>
          <w:rFonts w:ascii="Times New Roman" w:hAnsi="Times New Roman"/>
          <w:b/>
          <w:sz w:val="20"/>
        </w:rPr>
        <w:t>studies</w:t>
      </w:r>
      <w:r>
        <w:rPr>
          <w:rFonts w:ascii="Times New Roman" w:hAnsi="Times New Roman"/>
          <w:sz w:val="20"/>
        </w:rPr>
        <w:t>”)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Times New Roman" w:hAnsi="Times New Roman"/>
          <w:b/>
          <w:sz w:val="20"/>
        </w:rPr>
        <w:t>Regulatory Agencies</w:t>
      </w:r>
      <w:r>
        <w:rPr>
          <w:rFonts w:ascii="Times New Roman" w:hAnsi="Times New Roman"/>
          <w:sz w:val="20"/>
        </w:rPr>
        <w:t xml:space="preserve">”);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Sanctions.</w:t>
      </w:r>
      <w:r>
        <w:rPr>
          <w:rFonts w:ascii="Times New Roman" w:hAnsi="Times New Roman"/>
          <w:sz w:val="20"/>
        </w:rPr>
        <w:t xml:space="preserve">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hAnsi="Times New Roman"/>
          <w:b/>
          <w:sz w:val="20"/>
        </w:rPr>
        <w:t>OFAC</w:t>
      </w:r>
      <w:r>
        <w:rPr>
          <w:rFonts w:ascii="Times New Roman" w:hAnsi="Times New Roman"/>
          <w:sz w:val="20"/>
        </w:rPr>
        <w:t>”) or the U.S. Department of State, the United Nations Security Council, the European Union, His Majesty’s Treasury of the United Kingdom, or other relevant sanctions authority (collectively, “</w:t>
      </w:r>
      <w:r>
        <w:rPr>
          <w:rFonts w:ascii="Times New Roman" w:hAnsi="Times New Roman"/>
          <w:b/>
          <w:sz w:val="20"/>
        </w:rPr>
        <w:t>Sanctions</w:t>
      </w:r>
      <w:r>
        <w:rPr>
          <w:rFonts w:ascii="Times New Roman" w:hAnsi="Times New Roman"/>
          <w:sz w:val="20"/>
        </w:rPr>
        <w:t>”); nor is the Company or any of its subsidiaries located, organized or resident in a country or territory that is the subject or the target of comprehensive Sanctions (including Crimea, so-called Donetsk People’s Republic and so-called Luhansk People’s Republic regions of Ukraine, Cuba, Iran, Syria (prior to July 1, 2025) and North Korea) (collectively, “</w:t>
      </w:r>
      <w:r>
        <w:rPr>
          <w:rFonts w:ascii="Times New Roman" w:hAnsi="Times New Roman"/>
          <w:b/>
          <w:sz w:val="20"/>
        </w:rPr>
        <w:t>Sanctioned Countries</w:t>
      </w:r>
      <w:r>
        <w:rPr>
          <w:rFonts w:ascii="Times New Roman" w:hAnsi="Times New Roman"/>
          <w:sz w:val="20"/>
        </w:rPr>
        <w:t>,” and each such country, a “</w:t>
      </w:r>
      <w:r>
        <w:rPr>
          <w:rFonts w:ascii="Times New Roman" w:hAnsi="Times New Roman"/>
          <w:b/>
          <w:sz w:val="20"/>
        </w:rPr>
        <w:t>Sanctioned Country</w:t>
      </w:r>
      <w:r>
        <w:rPr>
          <w:rFonts w:ascii="Times New Roman" w:hAnsi="Times New Roman"/>
          <w:sz w:val="20"/>
        </w:rPr>
        <w:t xml:space="preserve">”);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Outbound Investment Security Program</w:t>
      </w:r>
      <w:r>
        <w:rPr>
          <w:rFonts w:ascii="Times New Roman" w:hAnsi="Times New Roman"/>
          <w:sz w:val="20"/>
        </w:rPr>
        <w:t>. Neither the Company nor its subsidiary is a “covered foreign person”, as that term is defined in 31 C.F.R. § 850.209. Neither the Company nor its subsidiary currently engages, or has plans to engage, directly or indirectly, in a “covered activity”, as that term is defined in 31 C.F.R. § 850.208 (“</w:t>
      </w:r>
      <w:r>
        <w:rPr>
          <w:rFonts w:ascii="Times New Roman" w:hAnsi="Times New Roman"/>
          <w:b/>
          <w:sz w:val="20"/>
        </w:rPr>
        <w:t>Covered Activity</w:t>
      </w:r>
      <w:r>
        <w:rPr>
          <w:rFonts w:ascii="Times New Roman" w:hAnsi="Times New Roman"/>
          <w:sz w:val="20"/>
        </w:rPr>
        <w:t xml:space="preserve">”).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Sarbanes-Oxley</w:t>
      </w:r>
      <w:r>
        <w:rPr>
          <w:rFonts w:ascii="Times New Roman" w:hAnsi="Times New Roman"/>
          <w:sz w:val="20"/>
        </w:rPr>
        <w:t xml:space="preserve">. The Company is in compliance, in all material respects, with all applicable provisions of the Sarbanes-Oxley Act of 2002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Duties, Transfer Taxes, Etc</w:t>
      </w:r>
      <w:r>
        <w:rPr>
          <w:rFonts w:ascii="Times New Roman" w:hAnsi="Times New Roman"/>
          <w:sz w:val="20"/>
        </w:rPr>
        <w:t xml:space="preserve">.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reasonably adequate for, and operate and perform in all material respects as required in connection with the operation of the business of the Company and its subsidiaries as currently conducted, and, to the Company’s knowledge, free and clear of all material bugs, errors, defects, Trojan horses, time bombs, malware and other corruptants. Except as would not reasonably be expected to result in a Material Adverse Change, the Company and its subsidiaries have implemented and maintained commercially reasonable physical, technical and administrative controls, policies, procedures, and safeguards designed to maintain and protect their material confidential information and the integrity, continuous operation, redundancy and security of (i) all IT Systems, and (ii) information in the Company’s possession, custody, or control that constitutes “personal data,” “personal information,” “personally identifiable information” or similar term as defined under applicable Privacy Laws (collectively, “</w:t>
      </w:r>
      <w:r>
        <w:rPr>
          <w:rFonts w:ascii="Times New Roman" w:hAnsi="Times New Roman"/>
          <w:b/>
          <w:sz w:val="20"/>
        </w:rPr>
        <w:t>Personal Data</w:t>
      </w:r>
      <w:r>
        <w:rPr>
          <w:rFonts w:ascii="Times New Roman" w:hAnsi="Times New Roman"/>
          <w:sz w:val="20"/>
        </w:rPr>
        <w:t xml:space="preserve">”). To the Company’s knowledge, since January 1, 2024, there have been no breaches, outages or unauthorized uses of or accesses to same, except for those that have been remedied without material cost or liability, nor any material incidents under internal review or investigations relating to the same. Except as would not reasonably be expected to result in a Material Adverse Change, the Company and its subsidiaries are presently in compliance with all applicable (W) laws or statutes, (X) judgments, orders, rules and regulations of any court or arbitrator or governmental or regulatory authority with jurisdiction over the Company and its subsidiaries, (Y) internal written policies of the Company and its subsidiaries, and (Z) contractual obligations, in each case (X) through (Z) governing the privacy and security of IT Systems and Personal Data and to the protection of such IT Systems and Personal Data from unauthorized use, access, misappropriation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Compliance with Data Privacy Laws</w:t>
      </w:r>
      <w:r>
        <w:rPr>
          <w:rFonts w:ascii="Times New Roman" w:hAnsi="Times New Roman"/>
          <w:sz w:val="20"/>
        </w:rPr>
        <w:t>. Except as would not reasonably be expected to result in a Material Adverse Change, the Company and its subsidiaries are, and at all prior times since January 1, 2024 were in compliance with all applicable state and federal privacy and security laws and regulations governing the protection, privacy, and security of Personal Data, including without limitation, to the extent applicable, HIPAA (as defined in Section 2(ww)) and the European Union General Data Protection Regulation (“</w:t>
      </w:r>
      <w:r>
        <w:rPr>
          <w:rFonts w:ascii="Times New Roman" w:hAnsi="Times New Roman"/>
          <w:b/>
          <w:sz w:val="20"/>
        </w:rPr>
        <w:t>GDPR</w:t>
      </w:r>
      <w:r>
        <w:rPr>
          <w:rFonts w:ascii="Times New Roman" w:hAnsi="Times New Roman"/>
          <w:sz w:val="20"/>
        </w:rPr>
        <w:t>”) (EU 2016/679) (collectively, the “</w:t>
      </w:r>
      <w:r>
        <w:rPr>
          <w:rFonts w:ascii="Times New Roman" w:hAnsi="Times New Roman"/>
          <w:b/>
          <w:sz w:val="20"/>
        </w:rPr>
        <w:t>Privacy Laws</w:t>
      </w:r>
      <w:r>
        <w:rPr>
          <w:rFonts w:ascii="Times New Roman" w:hAnsi="Times New Roman"/>
          <w:sz w:val="20"/>
        </w:rPr>
        <w:t>”). The Company and its subsidiaries have taken commercially reasonable measures designed to comply in all material respects with their written, public policies and procedures relating to Personal Data privacy and security and the collection, storage, use, disclosure, handling, and analysis of Personal Data (the “</w:t>
      </w:r>
      <w:r>
        <w:rPr>
          <w:rFonts w:ascii="Times New Roman" w:hAnsi="Times New Roman"/>
          <w:b/>
          <w:sz w:val="20"/>
        </w:rPr>
        <w:t>Policies</w:t>
      </w:r>
      <w:r>
        <w:rPr>
          <w:rFonts w:ascii="Times New Roman" w:hAnsi="Times New Roman"/>
          <w:sz w:val="20"/>
        </w:rPr>
        <w:t xml:space="preserve">”). Except as would not reasonably be expected to result in a Material Adverse Change, the Company and its subsidiaries have at all times since January 1, 2024, made all disclosures to users or customers required by applicable Privacy Laws governing privacy and security, and none of such disclosures made or contained in any applicable Policy have, to the knowledge of the Company, been inaccurate or in violation of any applicable laws and regulatory rules or requirements in any material respect. Since January 1, 2024, neither the Company nor any subsidiary: (i) has received notice of any actual material liability under or relating to an actual violation of any of applicable Privacy Laws, and the Company has no knowledge of any event or condition that would reasonably be expected to result in any such notice; (ii) is currently conducting or paying for, in whole or in part, any investigation, remediation, or other corrective action pursuant to any applicable Privacy Law; or (iii) is a party to any order, decree, or agreement with a governmental authority that imposes any material obligation or liability under any applicable Privacy Law.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Other Underwriting Agreements</w:t>
      </w:r>
      <w:r>
        <w:rPr>
          <w:rFonts w:ascii="Times New Roman" w:hAnsi="Times New Roman"/>
          <w:sz w:val="20"/>
        </w:rPr>
        <w:t xml:space="preserve">. The Company is not a party to any agreement with an agent or underwriter for any other “at the market” or continuous equity transaction. </w:t>
      </w:r>
    </w:p>
    <w:p>
      <w:pPr>
        <w:pStyle w:val="TextBody"/>
        <w:bidi w:val="0"/>
        <w:spacing w:before="240" w:after="0"/>
        <w:jc w:val="left"/>
        <w:rPr>
          <w:rFonts w:ascii="Times New Roman" w:hAnsi="Times New Roman"/>
          <w:sz w:val="20"/>
        </w:rPr>
      </w:pPr>
      <w:r>
        <w:rPr>
          <w:rFonts w:ascii="Times New Roman" w:hAnsi="Times New Roman"/>
          <w:sz w:val="20"/>
        </w:rPr>
        <w:t xml:space="preserve">(vv) Forward-Looking Statements.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that was false or misleading with the knowledge of a director or senior manager of the Company that it was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(ww) </w:t>
      </w:r>
      <w:r>
        <w:rPr>
          <w:rFonts w:ascii="Times New Roman" w:hAnsi="Times New Roman"/>
          <w:sz w:val="20"/>
          <w:u w:val="single"/>
        </w:rPr>
        <w:t>Compliance with Health Care Laws</w:t>
      </w:r>
      <w:r>
        <w:rPr>
          <w:rFonts w:ascii="Times New Roman" w:hAnsi="Times New Roman"/>
          <w:sz w:val="20"/>
        </w:rPr>
        <w:t xml:space="preserve">. The Company and its subsidiaries are, and for the past six (6) years have been, in compliance with all Health Care Laws in all material respects. For purposes of this Agreement, “Health Care Laws”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(“HIPAA”) (42 U.S.C. Section 1320d et seq.),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would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(xx) </w:t>
      </w:r>
      <w:r>
        <w:rPr>
          <w:rFonts w:ascii="Times New Roman" w:hAnsi="Times New Roman"/>
          <w:sz w:val="20"/>
          <w:u w:val="single"/>
        </w:rPr>
        <w:t>Public Float</w:t>
      </w:r>
      <w:r>
        <w:rPr>
          <w:rFonts w:ascii="Times New Roman" w:hAnsi="Times New Roman"/>
          <w:sz w:val="20"/>
        </w:rPr>
        <w:t xml:space="preserve">. As of the date of filing of the Registration Statement, (i) the Prospectus does not exceed the Maximum Program Amount and (ii) the Company is not a shell company (as defined in Rule 405) and has not been a shell company for at least 12 calendar months previously.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the Agent and, for purposes of the opinions to be delivered pursuant to </w:t>
      </w:r>
      <w:r>
        <w:rPr>
          <w:rFonts w:ascii="Times New Roman" w:hAnsi="Times New Roman"/>
          <w:sz w:val="20"/>
          <w:u w:val="single"/>
        </w:rPr>
        <w:t>Section 4(o)</w:t>
      </w:r>
      <w:r>
        <w:rPr>
          <w:rFonts w:ascii="Times New Roman" w:hAnsi="Times New Roman"/>
          <w:sz w:val="20"/>
        </w:rPr>
        <w:t xml:space="preserve"> hereof, counsel to the Company and counsel to the Agent, will rely upon the accuracy and truthfulness of the foregoing representations and hereby consents to such reliance. </w:t>
      </w:r>
    </w:p>
    <w:p>
      <w:pPr>
        <w:pStyle w:val="TextBody"/>
        <w:bidi w:val="0"/>
        <w:spacing w:before="360" w:after="0"/>
        <w:jc w:val="left"/>
        <w:rPr>
          <w:rFonts w:ascii="Times New Roman" w:hAnsi="Times New Roman"/>
          <w:b/>
          <w:sz w:val="20"/>
        </w:rPr>
      </w:pPr>
      <w:r>
        <w:rPr>
          <w:rFonts w:ascii="Times New Roman" w:hAnsi="Times New Roman"/>
          <w:b/>
          <w:sz w:val="20"/>
        </w:rPr>
        <w:t xml:space="preserve">Section 3. ISSUANCE AND SALE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Sale of Securities</w:t>
      </w:r>
      <w:r>
        <w:rPr>
          <w:rFonts w:ascii="Times New Roman" w:hAnsi="Times New Roman"/>
          <w:sz w:val="20"/>
        </w:rPr>
        <w:t xml:space="preserve">.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Mechanics of Issuances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Issuance Notice</w:t>
      </w:r>
      <w:r>
        <w:rPr>
          <w:rFonts w:ascii="Times New Roman" w:hAnsi="Times New Roman"/>
          <w:sz w:val="20"/>
        </w:rPr>
        <w:t xml:space="preserve">. Upon the terms and subject to the conditions set forth herein, on any Trading Day during the Agency Period on which the conditions set forth in </w:t>
      </w:r>
      <w:r>
        <w:rPr>
          <w:rFonts w:ascii="Times New Roman" w:hAnsi="Times New Roman"/>
          <w:sz w:val="20"/>
          <w:u w:val="single"/>
        </w:rPr>
        <w:t>Section 5(a)</w:t>
      </w:r>
      <w:r>
        <w:rPr>
          <w:rFonts w:ascii="Times New Roman" w:hAnsi="Times New Roman"/>
          <w:sz w:val="20"/>
        </w:rPr>
        <w:t xml:space="preserve"> and </w:t>
      </w:r>
      <w:r>
        <w:rPr>
          <w:rFonts w:ascii="Times New Roman" w:hAnsi="Times New Roman"/>
          <w:sz w:val="20"/>
          <w:u w:val="single"/>
        </w:rPr>
        <w:t>Section 5(b)</w:t>
      </w:r>
      <w:r>
        <w:rPr>
          <w:rFonts w:ascii="Times New Roman" w:hAnsi="Times New Roman"/>
          <w:sz w:val="20"/>
        </w:rPr>
        <w:t xml:space="preserve"> shall have been satisfied, the Company may exercise its right to request an issuance of Shares by delivering to the Agent an Issuance Notice; </w:t>
      </w:r>
      <w:r>
        <w:rPr>
          <w:rFonts w:ascii="Times New Roman" w:hAnsi="Times New Roman"/>
          <w:i/>
          <w:sz w:val="20"/>
        </w:rPr>
        <w:t>provided, however</w:t>
      </w:r>
      <w:r>
        <w:rPr>
          <w:rFonts w:ascii="Times New Roman" w:hAnsi="Times New Roman"/>
          <w:sz w:val="20"/>
        </w:rPr>
        <w:t xml:space="preserve">,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Agent Efforts</w:t>
      </w:r>
      <w:r>
        <w:rPr>
          <w:rFonts w:ascii="Times New Roman" w:hAnsi="Times New Roman"/>
          <w:sz w:val="20"/>
        </w:rPr>
        <w:t xml:space="preserve">.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Method of Offer and Sale</w:t>
      </w:r>
      <w:r>
        <w:rPr>
          <w:rFonts w:ascii="Times New Roman" w:hAnsi="Times New Roman"/>
          <w:sz w:val="20"/>
        </w:rPr>
        <w:t xml:space="preserve">. The Shares may be offered and sold (A) in privately negotiated transactions with the consent of the Company; (B) as block transactions with the consent of the Company;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Confirmation to the Company</w:t>
      </w:r>
      <w:r>
        <w:rPr>
          <w:rFonts w:ascii="Times New Roman" w:hAnsi="Times New Roman"/>
          <w:sz w:val="20"/>
        </w:rPr>
        <w:t xml:space="preserve">.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Settlement</w:t>
      </w:r>
      <w:r>
        <w:rPr>
          <w:rFonts w:ascii="Times New Roman" w:hAnsi="Times New Roman"/>
          <w:sz w:val="20"/>
        </w:rPr>
        <w:t xml:space="preserve">. Each issuance of Shares will be settled on the applicable Settlement Date for such issuance of Shares and, subject to the provisions of </w:t>
      </w:r>
      <w:r>
        <w:rPr>
          <w:rFonts w:ascii="Times New Roman" w:hAnsi="Times New Roman"/>
          <w:sz w:val="20"/>
          <w:u w:val="single"/>
        </w:rPr>
        <w:t>Section 5</w:t>
      </w:r>
      <w:r>
        <w:rPr>
          <w:rFonts w:ascii="Times New Roman" w:hAnsi="Times New Roman"/>
          <w:sz w:val="20"/>
        </w:rPr>
        <w:t xml:space="preserve">,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Times New Roman" w:hAnsi="Times New Roman"/>
          <w:b/>
          <w:sz w:val="20"/>
        </w:rPr>
        <w:t>Time of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Suspension or Termination of Sales</w:t>
      </w:r>
      <w:r>
        <w:rPr>
          <w:rFonts w:ascii="Times New Roman" w:hAnsi="Times New Roman"/>
          <w:sz w:val="20"/>
        </w:rPr>
        <w:t xml:space="preserve">. Consistent with standard market settlement practices, the Company or the Agent may, upon notice to the other party hereto (including by email correspondence to each of the individuals of the other party whose names are set forth on Schedule A hereto) in writing or by telephone (confirmed immediately by verifiable email), suspend any sale of Shares, and the period set forth in an Issuance Notice shall immediately terminate; </w:t>
      </w:r>
      <w:r>
        <w:rPr>
          <w:rFonts w:ascii="Times New Roman" w:hAnsi="Times New Roman"/>
          <w:i/>
          <w:sz w:val="20"/>
        </w:rPr>
        <w:t>provided, however</w:t>
      </w:r>
      <w:r>
        <w:rPr>
          <w:rFonts w:ascii="Times New Roman" w:hAnsi="Times New Roman"/>
          <w:sz w:val="20"/>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hAnsi="Times New Roman"/>
          <w:sz w:val="20"/>
          <w:u w:val="single"/>
        </w:rPr>
        <w:t>Section 3(b)(v)</w:t>
      </w:r>
      <w:r>
        <w:rPr>
          <w:rFonts w:ascii="Times New Roman" w:hAnsi="Times New Roman"/>
          <w:sz w:val="20"/>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hAnsi="Times New Roman"/>
          <w:sz w:val="20"/>
          <w:u w:val="single"/>
        </w:rPr>
        <w:t>Section 3(b)(i)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No Guarantee of Placement, Etc.</w:t>
      </w:r>
      <w:r>
        <w:rPr>
          <w:rFonts w:ascii="Times New Roman" w:hAnsi="Times New Roman"/>
          <w:sz w:val="20"/>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Material Non-Public Information.</w:t>
      </w:r>
      <w:r>
        <w:rPr>
          <w:rFonts w:ascii="Times New Roman" w:hAnsi="Times New Roman"/>
          <w:sz w:val="20"/>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Fees</w:t>
      </w:r>
      <w:r>
        <w:rPr>
          <w:rFonts w:ascii="Times New Roman" w:hAnsi="Times New Roman"/>
          <w:sz w:val="20"/>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hAnsi="Times New Roman"/>
          <w:sz w:val="20"/>
          <w:u w:val="single"/>
        </w:rPr>
        <w:t>Section 3(b)(vi)</w:t>
      </w:r>
      <w:r>
        <w:rPr>
          <w:rFonts w:ascii="Times New Roman" w:hAnsi="Times New Roman"/>
          <w:sz w:val="20"/>
        </w:rPr>
        <w:t xml:space="preserve">), by the Agent deducting the Selling Commission from the applicable Issuance Amount.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Expenses</w:t>
      </w:r>
      <w:r>
        <w:rPr>
          <w:rFonts w:ascii="Times New Roman" w:hAnsi="Times New Roman"/>
          <w:sz w:val="20"/>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hAnsi="Times New Roman"/>
          <w:b/>
          <w:sz w:val="20"/>
        </w:rPr>
        <w:t>Blue Sky Survey</w:t>
      </w:r>
      <w:r>
        <w:rPr>
          <w:rFonts w:ascii="Times New Roman" w:hAnsi="Times New Roman"/>
          <w:sz w:val="20"/>
        </w:rPr>
        <w:t xml:space="preserve">”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(A) $100,000 in connection with the execution of this Agreement , (B) $25,000 in connection with each Triggering Event Date (as defined below) involving the filing with the Commission of an annual report on Form 10-K on which the Company is required to provide a certificate pursuant to Section 4(o)(B); (C) $15,000 in connection with each Triggering Event Date (as defined below) involving the filing with the Commission of a quarterly report on Form 10-Q on which the Company is required to provide a certificate pursuant to Section 4(o)(B); and (D) $40,000 for each program “refresh” (i.e., the filing of a new registration statement, prospectus, or prospectus supplement relating to the Shares and/or an amendment of this Agreement) in connection with this Agreement pursuant to Section 4(o)(A). </w:t>
      </w:r>
    </w:p>
    <w:p>
      <w:pPr>
        <w:pStyle w:val="TextBody"/>
        <w:bidi w:val="0"/>
        <w:spacing w:before="360" w:after="0"/>
        <w:jc w:val="left"/>
        <w:rPr>
          <w:rFonts w:ascii="Times New Roman" w:hAnsi="Times New Roman"/>
          <w:b/>
          <w:sz w:val="20"/>
        </w:rPr>
      </w:pPr>
      <w:r>
        <w:rPr>
          <w:rFonts w:ascii="Times New Roman" w:hAnsi="Times New Roman"/>
          <w:b/>
          <w:sz w:val="20"/>
        </w:rPr>
        <w:t xml:space="preserve">Section 4. 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with the Agent as follows, in addition to any other covenants and agreements made elsewhere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Act Compliance</w:t>
      </w:r>
      <w:r>
        <w:rPr>
          <w:rFonts w:ascii="Times New Roman" w:hAnsi="Times New Roman"/>
          <w:sz w:val="20"/>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Times New Roman" w:hAnsi="Times New Roman"/>
          <w:b/>
          <w:sz w:val="20"/>
        </w:rPr>
        <w:t>Interim Prospectus Supplement”)</w:t>
      </w:r>
      <w:r>
        <w:rPr>
          <w:rFonts w:ascii="Times New Roman" w:hAnsi="Times New Roman"/>
          <w:sz w:val="20"/>
        </w:rPr>
        <w:t xml:space="preserve">, such summary information and, at least once a quarter and subject to this Section 4, file such Interim Prospectus Supplement pursuant to Rule 424(b) under the Securities Act (and within the time periods required by Rule 424(b) and Rule 430B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Securities Act Compliance</w:t>
      </w:r>
      <w:r>
        <w:rPr>
          <w:rFonts w:ascii="Times New Roman" w:hAnsi="Times New Roman"/>
          <w:sz w:val="20"/>
        </w:rPr>
        <w:t xml:space="preserve">.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Amendments and Supplements to the Prospectus and Other Securities Act Matters</w:t>
      </w:r>
      <w:r>
        <w:rPr>
          <w:rFonts w:ascii="Times New Roman" w:hAnsi="Times New Roman"/>
          <w:sz w:val="20"/>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Notwithstanding the foregoing, the Company shall not be required to file such amendment or supplement if there is no pending Issuance Notice and the Company believes that it is in its best interest not to file such amendment or supplement.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Agent’s Review of Proposed Amendments and Supplements</w:t>
      </w:r>
      <w:r>
        <w:rPr>
          <w:rFonts w:ascii="Times New Roman" w:hAnsi="Times New Roman"/>
          <w:sz w:val="20"/>
        </w:rPr>
        <w:t xml:space="preserve">. Prior to amending or supplementing the Registration Statement (including any registration statement filed under Rule 462(b) under the Securities Act) or the Prospectus (excluding any amendment or supplement through incorporation of any report filed under the Exchange Act) insofar as such proposed amendment or supplement relates to the Shares,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such consent not to be unreasonably withheld or delayed, and the Company shall file with the Commission within the applicable period specified in Rule 424(b) under the Securities Act any prospectus required to be filed pursuant to such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Use of Free Writing Prospectus</w:t>
      </w:r>
      <w:r>
        <w:rPr>
          <w:rFonts w:ascii="Times New Roman" w:hAnsi="Times New Roman"/>
          <w:sz w:val="20"/>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hAnsi="Times New Roman"/>
          <w:b/>
          <w:sz w:val="20"/>
        </w:rPr>
        <w:t>Free Writing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Free Writing Prospectuses</w:t>
      </w:r>
      <w:r>
        <w:rPr>
          <w:rFonts w:ascii="Times New Roman" w:hAnsi="Times New Roman"/>
          <w:sz w:val="20"/>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hAnsi="Times New Roman"/>
          <w:i/>
          <w:sz w:val="20"/>
        </w:rPr>
        <w:t>provided, however</w:t>
      </w:r>
      <w:r>
        <w:rPr>
          <w:rFonts w:ascii="Times New Roman" w:hAnsi="Times New Roman"/>
          <w:sz w:val="20"/>
        </w:rPr>
        <w:t xml:space="preserve">,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Filing of Agent Free Writing Prospectuses</w:t>
      </w:r>
      <w:r>
        <w:rPr>
          <w:rFonts w:ascii="Times New Roman" w:hAnsi="Times New Roman"/>
          <w:sz w:val="20"/>
        </w:rPr>
        <w:t xml:space="preserve">.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Copies of Registration Statement and Prospectus</w:t>
      </w:r>
      <w:r>
        <w:rPr>
          <w:rFonts w:ascii="Times New Roman" w:hAnsi="Times New Roman"/>
          <w:sz w:val="20"/>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(which may be electronic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Blue Sky Compliance</w:t>
      </w:r>
      <w:r>
        <w:rPr>
          <w:rFonts w:ascii="Times New Roman" w:hAnsi="Times New Roman"/>
          <w:sz w:val="20"/>
        </w:rPr>
        <w:t xml:space="preserve">.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Earnings Statement</w:t>
      </w:r>
      <w:r>
        <w:rPr>
          <w:rFonts w:ascii="Times New Roman" w:hAnsi="Times New Roman"/>
          <w:sz w:val="20"/>
        </w:rPr>
        <w:t xml:space="preserve">.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may be satisfied by publicly filing the required information on EDGAR.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Listing; Reservation of Shares</w:t>
      </w:r>
      <w:r>
        <w:rPr>
          <w:rFonts w:ascii="Times New Roman" w:hAnsi="Times New Roman"/>
          <w:sz w:val="20"/>
        </w:rPr>
        <w:t xml:space="preserve">. (a) The Company will maintain the listing of the Shares on the Principal Market; and (b) the Company will reserve and keep available at all times, free of preemptive rights, Shares for the purpose of enabling the Company to satisfy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Transfer Agent</w:t>
      </w:r>
      <w:r>
        <w:rPr>
          <w:rFonts w:ascii="Times New Roman" w:hAnsi="Times New Roman"/>
          <w:sz w:val="20"/>
        </w:rPr>
        <w:t xml:space="preserve">. The Company shall engage and maintain, at its expense, a registrar and transfer agent for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Due Diligence</w:t>
      </w:r>
      <w:r>
        <w:rPr>
          <w:rFonts w:ascii="Times New Roman" w:hAnsi="Times New Roman"/>
          <w:sz w:val="20"/>
        </w:rPr>
        <w:t xml:space="preserve">.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Representations and Warranties</w:t>
      </w:r>
      <w:r>
        <w:rPr>
          <w:rFonts w:ascii="Times New Roman" w:hAnsi="Times New Roman"/>
          <w:sz w:val="20"/>
        </w:rPr>
        <w:t xml:space="preserve">.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Deliverables at Triggering Event Dates; Certificates.</w:t>
      </w:r>
      <w:r>
        <w:rPr>
          <w:rFonts w:ascii="Times New Roman" w:hAnsi="Times New Roman"/>
          <w:sz w:val="20"/>
        </w:rPr>
        <w:t xml:space="preserve"> The Company agrees that on or prior to the date of the first Issuance Notice and, during the term of this Agreement after the date of the first Issuance Notice, upon: </w:t>
      </w:r>
    </w:p>
    <w:p>
      <w:pPr>
        <w:pStyle w:val="TextBody"/>
        <w:bidi w:val="0"/>
        <w:spacing w:before="120" w:after="0"/>
        <w:jc w:val="left"/>
        <w:rPr>
          <w:rFonts w:ascii="Times New Roman" w:hAnsi="Times New Roman"/>
          <w:sz w:val="20"/>
        </w:rPr>
      </w:pPr>
      <w:r>
        <w:rPr>
          <w:rFonts w:ascii="Times New Roman" w:hAnsi="Times New Roman"/>
          <w:sz w:val="20"/>
        </w:rPr>
        <w:t xml:space="preserve">(A) 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 </w:t>
      </w:r>
    </w:p>
    <w:p>
      <w:pPr>
        <w:pStyle w:val="TextBody"/>
        <w:bidi w:val="0"/>
        <w:spacing w:before="240" w:after="0"/>
        <w:jc w:val="left"/>
        <w:rPr>
          <w:rFonts w:ascii="Times New Roman" w:hAnsi="Times New Roman"/>
          <w:sz w:val="20"/>
        </w:rPr>
      </w:pPr>
      <w:r>
        <w:rPr>
          <w:rFonts w:ascii="Times New Roman" w:hAnsi="Times New Roman"/>
          <w:sz w:val="20"/>
        </w:rPr>
        <w:t xml:space="preserve">(B)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(C) the filing with the Commission of a current report on Form 8-K of the Company (i)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and/or (ii) disclosing any material transaction requiring the filing of historical or pro forma financial statements under Item 9.01 of Form 8-K and subject to the guidance set forth in Section 2050.3 of the Financial Reporting Manual of the Commission that is material to the offering of the Shares in the Agent’s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such event, a “</w:t>
      </w:r>
      <w:r>
        <w:rPr>
          <w:rFonts w:ascii="Times New Roman" w:hAnsi="Times New Roman"/>
          <w:b/>
          <w:sz w:val="20"/>
        </w:rPr>
        <w:t>Triggering Event Date</w:t>
      </w:r>
      <w:r>
        <w:rPr>
          <w:rFonts w:ascii="Times New Roman" w:hAnsi="Times New Roman"/>
          <w:sz w:val="20"/>
        </w:rPr>
        <w:t xml:space="preserve">”), the Company shall furnish the Agent (but in the case of clause (C) above only if the Agent reasonably determines that the information contained in such current report on Form 8-K of the Company is material to the offering of the Shares)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hAnsi="Times New Roman"/>
          <w:sz w:val="20"/>
          <w:u w:val="single"/>
        </w:rPr>
        <w:t>Section 5(a)(iii)</w:t>
      </w:r>
      <w:r>
        <w:rPr>
          <w:rFonts w:ascii="Times New Roman" w:hAnsi="Times New Roman"/>
          <w:sz w:val="20"/>
        </w:rPr>
        <w:t xml:space="preserve"> hereof, and (C) containing any other certification that the Agent shall reasonably request. The requirement to provide a certificate under this </w:t>
      </w:r>
      <w:r>
        <w:rPr>
          <w:rFonts w:ascii="Times New Roman" w:hAnsi="Times New Roman"/>
          <w:sz w:val="20"/>
          <w:u w:val="single"/>
        </w:rPr>
        <w:t>Section 4(o)</w:t>
      </w:r>
      <w:r>
        <w:rPr>
          <w:rFonts w:ascii="Times New Roman" w:hAnsi="Times New Roman"/>
          <w:sz w:val="20"/>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Legal Opinions.</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 letter and the written legal opinion of Cooley LLP, counsel to the Company, the negative assurance letter and written legal opinion of Mintz, Levin, Cohn, Ferris, Glovsky and Popeo, P.C., counsel to the Agent, and the written legal opinion of Jones Day, intellectual property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Comfort Letter</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the Prospectus. If requested by the Agent, the Company shall also cause a comfort letter to be furnished to the Agent as promptly as possible following the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Secretary’s Certificate</w:t>
      </w:r>
      <w:r>
        <w:rPr>
          <w:rFonts w:ascii="Times New Roman" w:hAnsi="Times New Roman"/>
          <w:sz w:val="20"/>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Agent’s Own Account; Clients’ Account</w:t>
      </w:r>
      <w:r>
        <w:rPr>
          <w:rFonts w:ascii="Times New Roman" w:hAnsi="Times New Roman"/>
          <w:sz w:val="20"/>
        </w:rPr>
        <w:t xml:space="preserve">. The Company consents to the Agent trading, in compliance with applicable law, in the Common Shares for the Agent’s own account and for the account of its clients at the same time as sales of the Shares occur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Investment Limitation</w:t>
      </w:r>
      <w:r>
        <w:rPr>
          <w:rFonts w:ascii="Times New Roman" w:hAnsi="Times New Roman"/>
          <w:sz w:val="20"/>
        </w:rPr>
        <w:t xml:space="preserve">. The Company shall not invest, or otherwise use the proceeds received by the Company from its sale of the Shares in such a manner as would require the Company or any of its subsidiaries to register as an investment company under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Market Activities</w:t>
      </w:r>
      <w:r>
        <w:rPr>
          <w:rFonts w:ascii="Times New Roman" w:hAnsi="Times New Roman"/>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hAnsi="Times New Roman"/>
          <w:b/>
          <w:sz w:val="20"/>
        </w:rPr>
        <w:t>Rule 102</w:t>
      </w:r>
      <w:r>
        <w:rPr>
          <w:rFonts w:ascii="Times New Roman" w:hAnsi="Times New Roman"/>
          <w:sz w:val="20"/>
        </w:rPr>
        <w:t xml:space="preserve">”)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Notice of Other Sale</w:t>
      </w:r>
      <w:r>
        <w:rPr>
          <w:rFonts w:ascii="Times New Roman" w:hAnsi="Times New Roman"/>
          <w:sz w:val="20"/>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first Trading Day immediately following the Settlement Date with respect to Shares sold pursuant to such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or settlement of options, restricted stock unit awards or other equity awards pursuant to any employee or director stock option, incentive or benefit plan, stock purchase or ownership plan, long-term incentive plan, dividend reinvestment plan, inducement award or inducement award plan under Principal Market rules or other compensation plan of the Company or its subsidiaries, as in effect on the date of this Agreement or hereafter implemented, (ii) issuance or sale of Common Shares issuable upon exchange, conversion or redemption of securities or the exercise or vesting or settlement of warrants, options, restricted stock unit awards or other equity awards disclosed in filings by the Company available on EDGAR, (iii) issuance or sale of any securities, Common Shares or securities convertible into or exchangeable for Common Shares in connection with strategic transactions including mergers, acquisitions, other business combinations, joint ventures or strategic alliances, manufacturing, marketing, sponsored research, collaboration, license or distribution arrangements which are not issued primarily for capital raising purposes; provided that the aggregate number of Common Shares issued or sold under this subsection (iii) shall not exceed 5% of the number of Common Shares outstanding immediately prior to giving effect to such sale or issuance and (iv) modification of any outstanding options, restricted stock unit awards, warrants or of any other rights to purchase or acquire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5. CONDITIONS TO DELIVERY OF ISSUANCE NOTICES AND TO SETTLEMENT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Conditions Precedent to the Right of the Company to Deliver an Issuance Notice and the Obligation of the Agent to Sell Shares</w:t>
      </w:r>
      <w:r>
        <w:rPr>
          <w:rFonts w:ascii="Times New Roman" w:hAnsi="Times New Roman"/>
          <w:sz w:val="20"/>
        </w:rPr>
        <w:t xml:space="preserve">.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Accuracy of the Company’s Representations and Warranties; Performance by the Company</w:t>
            </w:r>
            <w:r>
              <w:rPr>
                <w:rFonts w:ascii="Times New Roman" w:hAnsi="Times New Roman"/>
                <w:sz w:val="20"/>
              </w:rPr>
              <w:t xml:space="preserve">. The Company shall have delivered the certificate required to be delivered pursuant to </w:t>
            </w:r>
            <w:r>
              <w:rPr>
                <w:rFonts w:ascii="Times New Roman" w:hAnsi="Times New Roman"/>
                <w:sz w:val="20"/>
                <w:u w:val="single"/>
              </w:rPr>
              <w:t>Section 4(o)</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4(o)</w:t>
            </w:r>
            <w:r>
              <w:rPr>
                <w:rFonts w:ascii="Times New Roman" w:hAnsi="Times New Roman"/>
                <w:sz w:val="20"/>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Section 4(p), </w:t>
            </w:r>
            <w:r>
              <w:rPr>
                <w:rFonts w:ascii="Times New Roman" w:hAnsi="Times New Roman"/>
                <w:sz w:val="20"/>
                <w:u w:val="single"/>
              </w:rPr>
              <w:t>Section 4(q)</w:t>
            </w:r>
            <w:r>
              <w:rPr>
                <w:rFonts w:ascii="Times New Roman" w:hAnsi="Times New Roman"/>
                <w:sz w:val="20"/>
              </w:rPr>
              <w:t xml:space="preserve"> and </w:t>
            </w:r>
            <w:r>
              <w:rPr>
                <w:rFonts w:ascii="Times New Roman" w:hAnsi="Times New Roman"/>
                <w:sz w:val="20"/>
                <w:u w:val="single"/>
              </w:rPr>
              <w:t>Section 4(r)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Injunction</w:t>
            </w:r>
            <w:r>
              <w:rPr>
                <w:rFonts w:ascii="Times New Roman" w:hAnsi="Times New Roman"/>
                <w:sz w:val="20"/>
              </w:rPr>
              <w:t xml:space="preserve">.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Material Adverse Changes</w:t>
            </w:r>
            <w:r>
              <w:rPr>
                <w:rFonts w:ascii="Times New Roman" w:hAnsi="Times New Roman"/>
                <w:sz w:val="20"/>
              </w:rPr>
              <w:t xml:space="preserve">.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Suspension of Trading in or Delisting of Common Shares; Other Events</w:t>
            </w:r>
            <w:r>
              <w:rPr>
                <w:rFonts w:ascii="Times New Roman" w:hAnsi="Times New Roman"/>
                <w:sz w:val="20"/>
              </w:rPr>
              <w:t xml:space="preserve">.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either shall have been suspended or limited, or minimum or maximum prices shall have been generally established on any of such stock exchanges by the Commission or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the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Documents Required to be Delivered on each Issuance Notice Date</w:t>
      </w:r>
      <w:r>
        <w:rPr>
          <w:rFonts w:ascii="Times New Roman" w:hAnsi="Times New Roman"/>
          <w:sz w:val="20"/>
        </w:rPr>
        <w:t xml:space="preserve">.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Misstatement or Material Omission</w:t>
      </w:r>
      <w:r>
        <w:rPr>
          <w:rFonts w:ascii="Times New Roman" w:hAnsi="Times New Roman"/>
          <w:sz w:val="20"/>
        </w:rPr>
        <w:t xml:space="preserve">.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 </w:t>
      </w:r>
    </w:p>
    <w:p>
      <w:pPr>
        <w:pStyle w:val="TextBody"/>
        <w:bidi w:val="0"/>
        <w:spacing w:before="360" w:after="0"/>
        <w:jc w:val="left"/>
        <w:rPr>
          <w:rFonts w:ascii="Times New Roman" w:hAnsi="Times New Roman"/>
          <w:b/>
          <w:sz w:val="20"/>
        </w:rPr>
      </w:pPr>
      <w:r>
        <w:rPr>
          <w:rFonts w:ascii="Times New Roman" w:hAnsi="Times New Roman"/>
          <w:b/>
          <w:sz w:val="20"/>
        </w:rPr>
        <w:t xml:space="preserve">Section 6. INDEMNIFICATION AND CONTRIBUTION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Indemnification of the Agent</w:t>
      </w:r>
      <w:r>
        <w:rPr>
          <w:rFonts w:ascii="Times New Roman" w:hAnsi="Times New Roman"/>
          <w:sz w:val="20"/>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 each such officer, employee and controlling person for any and all reasonable expenses (including the reasonable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(the “Agent Information”). The indemnity agreement set forth in this </w:t>
      </w:r>
      <w:r>
        <w:rPr>
          <w:rFonts w:ascii="Times New Roman" w:hAnsi="Times New Roman"/>
          <w:sz w:val="20"/>
          <w:u w:val="single"/>
        </w:rPr>
        <w:t>Section 6(a)</w:t>
      </w:r>
      <w:r>
        <w:rPr>
          <w:rFonts w:ascii="Times New Roman" w:hAnsi="Times New Roman"/>
          <w:sz w:val="20"/>
        </w:rPr>
        <w:t xml:space="preserve"> shall be in addition to any liabilities that the Company may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of the Company and its Directors and Officers</w:t>
      </w:r>
      <w:r>
        <w:rPr>
          <w:rFonts w:ascii="Times New Roman" w:hAnsi="Times New Roman"/>
          <w:sz w:val="20"/>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or incorporated by reference in any Free Writing Prospectus or the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Free Writing Prospectus or the Prospectus (or any such amendment or supplement), in reliance upon and in conformity with information furnished to the Company by the Agent in writing expressly for use therein; and to reimburse the Company, or any such director, officer or controlling person for any and all expenses (including the fees and disbursements of counsel chosen by the Company)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Agent have furnished to the Company expressly for use in the Registration Statement, any Free Writing Prospectus that the Company has filed, or is required to file, pursuant to Rule 433(d) of the Securities Act or the Prospectus (or any amendment or supplement to the foregoing) is the Agent Information. The indemnity agreement set forth in this Section 6(b) shall be in addition to any liabilities that the Agent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Notifications and Other Indemnification Procedures</w:t>
      </w:r>
      <w:r>
        <w:rPr>
          <w:rFonts w:ascii="Times New Roman" w:hAnsi="Times New Roman"/>
          <w:sz w:val="20"/>
        </w:rPr>
        <w:t xml:space="preserve">. Promptly after receipt by an indemnified party under this </w:t>
      </w:r>
      <w:r>
        <w:rPr>
          <w:rFonts w:ascii="Times New Roman" w:hAnsi="Times New Roman"/>
          <w:sz w:val="20"/>
          <w:u w:val="single"/>
        </w:rPr>
        <w:t>Section 6</w:t>
      </w:r>
      <w:r>
        <w:rPr>
          <w:rFonts w:ascii="Times New Roman" w:hAnsi="Times New Roman"/>
          <w:sz w:val="20"/>
        </w:rPr>
        <w:t xml:space="preserve"> of notice of the commencement of any action, such indemnified party will, if a claim in respect thereof is to be made against an indemnifying party under this </w:t>
      </w:r>
      <w:r>
        <w:rPr>
          <w:rFonts w:ascii="Times New Roman" w:hAnsi="Times New Roman"/>
          <w:sz w:val="20"/>
          <w:u w:val="single"/>
        </w:rPr>
        <w:t>Section 6</w:t>
      </w:r>
      <w:r>
        <w:rPr>
          <w:rFonts w:ascii="Times New Roman" w:hAnsi="Times New Roman"/>
          <w:sz w:val="20"/>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hAnsi="Times New Roman"/>
          <w:sz w:val="20"/>
          <w:u w:val="single"/>
        </w:rPr>
        <w:t>Section 6</w:t>
      </w:r>
      <w:r>
        <w:rPr>
          <w:rFonts w:ascii="Times New Roman" w:hAnsi="Times New Roman"/>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hAnsi="Times New Roman"/>
          <w:sz w:val="20"/>
          <w:u w:val="single"/>
        </w:rPr>
        <w:t>Section 6</w:t>
      </w:r>
      <w:r>
        <w:rPr>
          <w:rFonts w:ascii="Times New Roman" w:hAnsi="Times New Roman"/>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hAnsi="Times New Roman"/>
          <w:sz w:val="20"/>
          <w:u w:val="single"/>
        </w:rPr>
        <w:t>Section 6(a)</w:t>
      </w:r>
      <w:r>
        <w:rPr>
          <w:rFonts w:ascii="Times New Roman" w:hAnsi="Times New Roman"/>
          <w:sz w:val="20"/>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Settlements</w:t>
      </w:r>
      <w:r>
        <w:rPr>
          <w:rFonts w:ascii="Times New Roman" w:hAnsi="Times New Roman"/>
          <w:sz w:val="20"/>
        </w:rPr>
        <w:t xml:space="preserve">. The indemnifying party under this </w:t>
      </w:r>
      <w:r>
        <w:rPr>
          <w:rFonts w:ascii="Times New Roman" w:hAnsi="Times New Roman"/>
          <w:sz w:val="20"/>
          <w:u w:val="single"/>
        </w:rPr>
        <w:t>Section 6</w:t>
      </w:r>
      <w:r>
        <w:rPr>
          <w:rFonts w:ascii="Times New Roman" w:hAnsi="Times New Roman"/>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6(c) hereof, the indemnifying party agrees that it shall be liable for any settlement of any proceeding effected without its written consent if (i) such settlement is entered into more than thirty (30) calendar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If the indemnification provided for in this </w:t>
      </w:r>
      <w:r>
        <w:rPr>
          <w:rFonts w:ascii="Times New Roman" w:hAnsi="Times New Roman"/>
          <w:sz w:val="20"/>
          <w:u w:val="single"/>
        </w:rPr>
        <w:t>Section 6</w:t>
      </w:r>
      <w:r>
        <w:rPr>
          <w:rFonts w:ascii="Times New Roman" w:hAnsi="Times New Roman"/>
          <w:sz w:val="20"/>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6(c), any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w:t>
      </w:r>
      <w:r>
        <w:rPr>
          <w:rFonts w:ascii="Times New Roman" w:hAnsi="Times New Roman"/>
          <w:sz w:val="20"/>
          <w:u w:val="single"/>
        </w:rPr>
        <w:t>Section 6(e)</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no additional notice shall be required with respect to any action for which notice has been given under Section 6(c)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Agent agree that it would not be just and equitable if contribution pursuant to this </w:t>
      </w:r>
      <w:r>
        <w:rPr>
          <w:rFonts w:ascii="Times New Roman" w:hAnsi="Times New Roman"/>
          <w:sz w:val="20"/>
          <w:u w:val="single"/>
        </w:rPr>
        <w:t>Section 6(e)</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w:t>
      </w:r>
      <w:r>
        <w:rPr>
          <w:rFonts w:ascii="Times New Roman" w:hAnsi="Times New Roman"/>
          <w:sz w:val="20"/>
          <w:u w:val="single"/>
        </w:rPr>
        <w:t>Section 6(e)</w:t>
      </w:r>
      <w:r>
        <w:rPr>
          <w:rFonts w:ascii="Times New Roman" w:hAnsi="Times New Roman"/>
          <w:sz w:val="20"/>
        </w:rPr>
        <w:t xml:space="preserve">, the Agent shall not be required to contribute any amount in excess of the Selling Commissions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hAnsi="Times New Roman"/>
          <w:sz w:val="20"/>
          <w:u w:val="single"/>
        </w:rPr>
        <w:t>Section 6(e)</w:t>
      </w:r>
      <w:r>
        <w:rPr>
          <w:rFonts w:ascii="Times New Roman" w:hAnsi="Times New Roman"/>
          <w:sz w:val="20"/>
        </w:rPr>
        <w:t xml:space="preserve">,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 TERMINATION &amp; SURVIVAL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w:t>
      </w:r>
      <w:r>
        <w:rPr>
          <w:rFonts w:ascii="Times New Roman" w:hAnsi="Times New Roman"/>
          <w:sz w:val="20"/>
        </w:rPr>
        <w:t xml:space="preserve">. Subject to the provisions of this </w:t>
      </w:r>
      <w:r>
        <w:rPr>
          <w:rFonts w:ascii="Times New Roman" w:hAnsi="Times New Roman"/>
          <w:sz w:val="20"/>
          <w:u w:val="single"/>
        </w:rPr>
        <w:t>Section 7</w:t>
      </w:r>
      <w:r>
        <w:rPr>
          <w:rFonts w:ascii="Times New Roman" w:hAnsi="Times New Roman"/>
          <w:sz w:val="20"/>
        </w:rPr>
        <w:t xml:space="preserve">, the term of this Agreement shall continue from the date of this Agreement until the end of the Agency Period, unless earlier terminated by the parties to this Agreement pursuant to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Survival Following Termination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hAnsi="Times New Roman"/>
                <w:sz w:val="20"/>
                <w:u w:val="single"/>
              </w:rPr>
              <w:t>Section 3(b)(v)</w:t>
            </w:r>
            <w:r>
              <w:rPr>
                <w:rFonts w:ascii="Times New Roman" w:hAnsi="Times New Roman"/>
                <w:sz w:val="20"/>
              </w:rPr>
              <w:t xml:space="preserve"> with respect to such Shares and (B)</w:t>
            </w:r>
            <w:r>
              <w:rPr>
                <w:rFonts w:ascii="Times New Roman" w:hAnsi="Times New Roman"/>
                <w:sz w:val="20"/>
                <w:u w:val="single"/>
              </w:rPr>
              <w:t> Section 2</w:t>
            </w:r>
            <w:r>
              <w:rPr>
                <w:rFonts w:ascii="Times New Roman" w:hAnsi="Times New Roman"/>
                <w:sz w:val="20"/>
              </w:rPr>
              <w:t xml:space="preserve">, </w:t>
            </w: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shall survive termination of this Agreement. If termination shall occur prior to the Settlement Date for any sale of Shares, such sale shall nevertheless settle in accordance with the terms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survival provision of </w:t>
            </w:r>
            <w:r>
              <w:rPr>
                <w:rFonts w:ascii="Times New Roman" w:hAnsi="Times New Roman"/>
                <w:sz w:val="20"/>
                <w:u w:val="single"/>
              </w:rPr>
              <w:t>Section 7(b)(i)</w:t>
            </w:r>
            <w:r>
              <w:rPr>
                <w:rFonts w:ascii="Times New Roman" w:hAnsi="Times New Roman"/>
                <w:sz w:val="20"/>
              </w:rPr>
              <w:t xml:space="preserve">,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Section 8. MISCELLANEOUS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Press Releases and Disclosure</w:t>
      </w:r>
      <w:r>
        <w:rPr>
          <w:rFonts w:ascii="Times New Roman" w:hAnsi="Times New Roman"/>
          <w:sz w:val="20"/>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 Notwithstanding the foregoing, in no event shall the Company be required to seek the Agent’s prior consent for any public statements made by the Company (including, without limitation, any statement included in reports filed with the Commission) that are consistent with the statements set forth in the press release and Current Report on Form 8-K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Advisory or Fiduciary Relationship</w:t>
      </w:r>
      <w:r>
        <w:rPr>
          <w:rFonts w:ascii="Times New Roman" w:hAnsi="Times New Roman"/>
          <w:sz w:val="20"/>
        </w:rPr>
        <w:t xml:space="preserve">. The Company acknowledges and agrees that (i) the transactions contemplated by this Agreement, including the determination of any fees, are arm’s-length commercial transactions between the Company and the Agent, and do not constitute a recommendation, investment advice, or solicitation of any action by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(v) the Agent has not provided any legal, accounting, financial, regulatory, investment or tax advice with respect to the transactions contemplated hereby and the Company has consulted its own legal, accounting, regulatory and tax advisors to the extent it deemed appropriate, and (vi) none of the activities of the Agent in connection with the transactions contemplated herein constitutes a recommendation, investment advice or solicitation of any action by the Agent with respect to any entity or natural person.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Research Analyst Independence</w:t>
      </w:r>
      <w:r>
        <w:rPr>
          <w:rFonts w:ascii="Times New Roman" w:hAnsi="Times New Roman"/>
          <w:sz w:val="20"/>
        </w:rPr>
        <w:t xml:space="preserve">.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All communications hereunder shall be in writing and shall be mailed, hand delivered or telecopied and confirmed to the parties hereto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Agent: </w:t>
      </w:r>
    </w:p>
    <w:p>
      <w:pPr>
        <w:pStyle w:val="TextBody"/>
        <w:bidi w:val="0"/>
        <w:spacing w:before="12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Mintz, Levin, Cohn, Ferris, Glovsky and Popeo, P.C. </w:t>
      </w:r>
    </w:p>
    <w:p>
      <w:pPr>
        <w:pStyle w:val="TextBody"/>
        <w:bidi w:val="0"/>
        <w:spacing w:before="0" w:after="0"/>
        <w:jc w:val="left"/>
        <w:rPr>
          <w:rFonts w:ascii="Times New Roman" w:hAnsi="Times New Roman"/>
          <w:sz w:val="20"/>
        </w:rPr>
      </w:pPr>
      <w:r>
        <w:rPr>
          <w:rFonts w:ascii="Times New Roman" w:hAnsi="Times New Roman"/>
          <w:sz w:val="20"/>
        </w:rPr>
        <w:t xml:space="preserve">One Financial Center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0" w:after="0"/>
        <w:jc w:val="left"/>
        <w:rPr>
          <w:rFonts w:ascii="Times New Roman" w:hAnsi="Times New Roman"/>
          <w:sz w:val="20"/>
        </w:rPr>
      </w:pPr>
      <w:r>
        <w:rPr>
          <w:rFonts w:ascii="Times New Roman" w:hAnsi="Times New Roman"/>
          <w:sz w:val="20"/>
        </w:rPr>
        <w:t xml:space="preserve">Attention: William C. Hicks, Esq., John T. Rudy, Esq. and Alok A. Choksi, Esq. </w:t>
      </w:r>
    </w:p>
    <w:p>
      <w:pPr>
        <w:pStyle w:val="TextBody"/>
        <w:bidi w:val="0"/>
        <w:spacing w:before="0" w:after="0"/>
        <w:jc w:val="left"/>
        <w:rPr>
          <w:rFonts w:ascii="Times New Roman" w:hAnsi="Times New Roman"/>
          <w:sz w:val="20"/>
        </w:rPr>
      </w:pPr>
      <w:r>
        <w:rPr>
          <w:rFonts w:ascii="Times New Roman" w:hAnsi="Times New Roman"/>
          <w:sz w:val="20"/>
        </w:rPr>
        <w:t xml:space="preserve">Email: WCHicks@mintz.com, JRudy@mintz.com and AChoksi@mintz.com.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ImageneBio, Inc. </w:t>
      </w:r>
    </w:p>
    <w:p>
      <w:pPr>
        <w:pStyle w:val="TextBody"/>
        <w:bidi w:val="0"/>
        <w:spacing w:before="0" w:after="0"/>
        <w:jc w:val="left"/>
        <w:rPr>
          <w:rFonts w:ascii="Times New Roman" w:hAnsi="Times New Roman"/>
          <w:sz w:val="20"/>
        </w:rPr>
      </w:pPr>
      <w:r>
        <w:rPr>
          <w:rFonts w:ascii="Times New Roman" w:hAnsi="Times New Roman"/>
          <w:sz w:val="20"/>
        </w:rPr>
        <w:t xml:space="preserve">12526 High Bluff Drive, Suite 345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92130 </w:t>
      </w:r>
    </w:p>
    <w:p>
      <w:pPr>
        <w:pStyle w:val="TextBody"/>
        <w:bidi w:val="0"/>
        <w:spacing w:before="0" w:after="0"/>
        <w:jc w:val="left"/>
        <w:rPr>
          <w:rFonts w:ascii="Times New Roman" w:hAnsi="Times New Roman"/>
          <w:sz w:val="20"/>
        </w:rPr>
      </w:pPr>
      <w:r>
        <w:rPr>
          <w:rFonts w:ascii="Times New Roman" w:hAnsi="Times New Roman"/>
          <w:sz w:val="20"/>
        </w:rPr>
        <w:t xml:space="preserve">Attention: Kristin Yarema, Ph.D. </w:t>
      </w:r>
    </w:p>
    <w:p>
      <w:pPr>
        <w:pStyle w:val="TextBody"/>
        <w:bidi w:val="0"/>
        <w:spacing w:before="0" w:after="0"/>
        <w:jc w:val="left"/>
        <w:rPr>
          <w:rFonts w:ascii="Times New Roman" w:hAnsi="Times New Roman"/>
          <w:sz w:val="20"/>
        </w:rPr>
      </w:pPr>
      <w:r>
        <w:rPr>
          <w:rFonts w:ascii="Times New Roman" w:hAnsi="Times New Roman"/>
          <w:sz w:val="20"/>
        </w:rPr>
        <w:t xml:space="preserve">Email: kyarema@imagenebio.com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10265 Science Center Drive </w:t>
      </w:r>
    </w:p>
    <w:p>
      <w:pPr>
        <w:pStyle w:val="TextBody"/>
        <w:bidi w:val="0"/>
        <w:spacing w:before="0" w:after="0"/>
        <w:jc w:val="left"/>
        <w:rPr>
          <w:rFonts w:ascii="Times New Roman" w:hAnsi="Times New Roman"/>
          <w:sz w:val="20"/>
        </w:rPr>
      </w:pPr>
      <w:r>
        <w:rPr>
          <w:rFonts w:ascii="Times New Roman" w:hAnsi="Times New Roman"/>
          <w:sz w:val="20"/>
        </w:rPr>
        <w:t xml:space="preserve">San Diego, CA 92121 </w:t>
      </w:r>
    </w:p>
    <w:p>
      <w:pPr>
        <w:pStyle w:val="TextBody"/>
        <w:bidi w:val="0"/>
        <w:spacing w:before="0" w:after="0"/>
        <w:jc w:val="left"/>
        <w:rPr>
          <w:rFonts w:ascii="Times New Roman" w:hAnsi="Times New Roman"/>
          <w:sz w:val="20"/>
        </w:rPr>
      </w:pPr>
      <w:r>
        <w:rPr>
          <w:rFonts w:ascii="Times New Roman" w:hAnsi="Times New Roman"/>
          <w:sz w:val="20"/>
        </w:rPr>
        <w:t xml:space="preserve">Attention: Asa M. Henin </w:t>
      </w:r>
    </w:p>
    <w:p>
      <w:pPr>
        <w:pStyle w:val="TextBody"/>
        <w:bidi w:val="0"/>
        <w:spacing w:before="0" w:after="0"/>
        <w:jc w:val="left"/>
        <w:rPr>
          <w:rFonts w:ascii="Times New Roman" w:hAnsi="Times New Roman"/>
          <w:sz w:val="20"/>
        </w:rPr>
      </w:pPr>
      <w:r>
        <w:rPr>
          <w:rFonts w:ascii="Times New Roman" w:hAnsi="Times New Roman"/>
          <w:sz w:val="20"/>
        </w:rPr>
        <w:t xml:space="preserve">Email: ahenin@cooley.com.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in accordance with this </w:t>
      </w:r>
      <w:r>
        <w:rPr>
          <w:rFonts w:ascii="Times New Roman" w:hAnsi="Times New Roman"/>
          <w:sz w:val="20"/>
          <w:u w:val="single"/>
        </w:rPr>
        <w:t>Section 8(d)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Successors</w:t>
      </w:r>
      <w:r>
        <w:rPr>
          <w:rFonts w:ascii="Times New Roman" w:hAnsi="Times New Roman"/>
          <w:sz w:val="20"/>
        </w:rPr>
        <w:t xml:space="preserve">. This Agreement will inure to the benefit of and be binding upon the parties hereto, and to the benefit of the employees, officers and directors and controlling persons referred to in </w:t>
      </w:r>
      <w:r>
        <w:rPr>
          <w:rFonts w:ascii="Times New Roman" w:hAnsi="Times New Roman"/>
          <w:sz w:val="20"/>
          <w:u w:val="single"/>
        </w:rPr>
        <w:t>Section 6</w:t>
      </w:r>
      <w:r>
        <w:rPr>
          <w:rFonts w:ascii="Times New Roman" w:hAnsi="Times New Roman"/>
          <w:sz w:val="20"/>
        </w:rPr>
        <w:t xml:space="preserve">, and in each case their respective successors, and no other person will have any right or obligation hereunder. The term “successors” shall not include any purchaser of the Shares as such from the Agent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Partial Unenforceability</w:t>
      </w:r>
      <w:r>
        <w:rPr>
          <w:rFonts w:ascii="Times New Roman" w:hAnsi="Times New Roman"/>
          <w:sz w:val="20"/>
        </w:rPr>
        <w:t xml:space="preserve">.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Recognition of U.S. Special Resolutions Regimes</w:t>
      </w:r>
      <w:r>
        <w:rPr>
          <w:rFonts w:ascii="Times New Roman" w:hAnsi="Times New Roman"/>
          <w:sz w:val="20"/>
        </w:rPr>
        <w:t xml:space="preserve">. In the event that the Agent is a Covered Entity (as defined below)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the Agent is a Covered Entity and the Agent or a BHC Act Affiliate (as defined below) of the Agent becomes subject to a proceeding under a U.S. Special Resolution Regime, Default Rights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 For purposes of this Agreement, (A) “</w:t>
      </w:r>
      <w:r>
        <w:rPr>
          <w:rFonts w:ascii="Times New Roman" w:hAnsi="Times New Roman"/>
          <w:b/>
          <w:sz w:val="20"/>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Governing Law Provisions</w:t>
      </w:r>
      <w:r>
        <w:rPr>
          <w:rFonts w:ascii="Times New Roman" w:hAnsi="Times New Roman"/>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hAnsi="Times New Roman"/>
          <w:b/>
          <w:sz w:val="20"/>
        </w:rPr>
        <w:t>Related Proceedings</w:t>
      </w:r>
      <w:r>
        <w:rPr>
          <w:rFonts w:ascii="Times New Roman" w:hAnsi="Times New Roman"/>
          <w:sz w:val="20"/>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hAnsi="Times New Roman"/>
          <w:b/>
          <w:sz w:val="20"/>
        </w:rPr>
        <w:t>Specified Courts</w:t>
      </w:r>
      <w:r>
        <w:rPr>
          <w:rFonts w:ascii="Times New Roman" w:hAnsi="Times New Roman"/>
          <w:sz w:val="20"/>
        </w:rPr>
        <w:t>”), and each party irrevocably submits to the exclusive jurisdiction (except for proceedings instituted in regard to the enforcement of a judgment of any such court (a “</w:t>
      </w:r>
      <w:r>
        <w:rPr>
          <w:rFonts w:ascii="Times New Roman" w:hAnsi="Times New Roman"/>
          <w:b/>
          <w:sz w:val="20"/>
        </w:rPr>
        <w:t>Related Judgment</w:t>
      </w:r>
      <w:r>
        <w:rPr>
          <w:rFonts w:ascii="Times New Roman" w:hAnsi="Times New Roman"/>
          <w:sz w:val="20"/>
        </w:rPr>
        <w:t xml:space="preserve">”),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 Provisions</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Immediately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IMAGENEBIO, INC.</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4" w:type="dxa"/>
            <w:tcBorders>
              <w:bottom w:val="single" w:sz="2" w:space="0" w:color="000000"/>
            </w:tcBorders>
            <w:tcMar>
              <w:bottom w:w="28" w:type="dxa"/>
            </w:tcMar>
          </w:tcPr>
          <w:p>
            <w:pPr>
              <w:pStyle w:val="TableContents"/>
              <w:bidi w:val="0"/>
              <w:spacing w:before="0" w:after="283"/>
              <w:jc w:val="left"/>
              <w:rPr/>
            </w:pPr>
            <w:r>
              <w:rPr/>
              <w:t>/s/ Kristin Yarema</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 Kristin Yarema, Ph.D.</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confirmed and accepted by the Agent in New York, New York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JEFFERIES LLC</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6" w:type="dxa"/>
            <w:tcBorders>
              <w:bottom w:val="single" w:sz="2" w:space="0" w:color="000000"/>
            </w:tcBorders>
            <w:tcMar>
              <w:bottom w:w="28" w:type="dxa"/>
            </w:tcMar>
          </w:tcPr>
          <w:p>
            <w:pPr>
              <w:pStyle w:val="TableContents"/>
              <w:bidi w:val="0"/>
              <w:spacing w:before="0" w:after="283"/>
              <w:jc w:val="left"/>
              <w:rPr/>
            </w:pPr>
            <w:r>
              <w:rPr/>
              <w:t>/s/ Michael Brinkman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 Michael Brinkman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ISSUANCE NOTICE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Attn: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Reference is made to the Open Market Sale Agreement between ImageneBio, Inc. (the “</w:t>
      </w:r>
      <w:r>
        <w:rPr>
          <w:rFonts w:ascii="Times New Roman" w:hAnsi="Times New Roman"/>
          <w:b/>
          <w:sz w:val="20"/>
        </w:rPr>
        <w:t>Company</w:t>
      </w:r>
      <w:r>
        <w:rPr>
          <w:rFonts w:ascii="Times New Roman" w:hAnsi="Times New Roman"/>
          <w:sz w:val="20"/>
        </w:rPr>
        <w:t>”) and Jefferies LLC (the “</w:t>
      </w:r>
      <w:r>
        <w:rPr>
          <w:rFonts w:ascii="Times New Roman" w:hAnsi="Times New Roman"/>
          <w:b/>
          <w:sz w:val="20"/>
        </w:rPr>
        <w:t>Agent</w:t>
      </w:r>
      <w:r>
        <w:rPr>
          <w:rFonts w:ascii="Times New Roman" w:hAnsi="Times New Roman"/>
          <w:sz w:val="20"/>
        </w:rPr>
        <w:t>”) dated as of August 5, 2026 (the “</w:t>
      </w:r>
      <w:r>
        <w:rPr>
          <w:rFonts w:ascii="Times New Roman" w:hAnsi="Times New Roman"/>
          <w:b/>
          <w:sz w:val="20"/>
        </w:rPr>
        <w:t>Sales Agreement</w:t>
      </w:r>
      <w:r>
        <w:rPr>
          <w:rFonts w:ascii="Times New Roman" w:hAnsi="Times New Roman"/>
          <w:sz w:val="20"/>
        </w:rPr>
        <w:t xml:space="preserve">”). The Company confirms that all conditions to the delivery of this Issuance Notice are satisfied as of the date hereof. Capitalized terms used herein and not defined shall have the respective meanings ascribed to such terms in the Sales Agreement. </w:t>
      </w:r>
    </w:p>
    <w:p>
      <w:pPr>
        <w:pStyle w:val="TextBody"/>
        <w:bidi w:val="0"/>
        <w:spacing w:before="240" w:after="0"/>
        <w:jc w:val="left"/>
        <w:rPr>
          <w:rFonts w:ascii="Times New Roman" w:hAnsi="Times New Roman"/>
          <w:sz w:val="20"/>
        </w:rPr>
      </w:pPr>
      <w:r>
        <w:rPr>
          <w:rFonts w:ascii="Times New Roman" w:hAnsi="Times New Roman"/>
          <w:sz w:val="20"/>
        </w:rPr>
        <w:t>Date that the Base Registration Statement Expires: [</w:t>
      </w:r>
      <w:r>
        <w:rPr>
          <w:rFonts w:ascii="Times New Roman" w:hAnsi="Times New Roman"/>
          <w:sz w:val="20"/>
          <w:u w:val="single"/>
        </w:rPr>
        <w:t>        </w:t>
      </w:r>
      <w:r>
        <w:rPr>
          <w:rFonts w:ascii="Times New Roman" w:hAnsi="Times New Roman"/>
          <w:sz w:val="20"/>
        </w:rPr>
        <w:t xml:space="preserve">]1 </w:t>
      </w:r>
    </w:p>
    <w:p>
      <w:pPr>
        <w:pStyle w:val="TextBody"/>
        <w:bidi w:val="0"/>
        <w:spacing w:before="240" w:after="0"/>
        <w:jc w:val="left"/>
        <w:rPr>
          <w:rFonts w:ascii="Times New Roman" w:hAnsi="Times New Roman"/>
          <w:sz w:val="20"/>
        </w:rPr>
      </w:pPr>
      <w:r>
        <w:rPr>
          <w:rFonts w:ascii="Times New Roman" w:hAnsi="Times New Roman"/>
          <w:sz w:val="20"/>
        </w:rPr>
        <w:t xml:space="preserve">Date of Delivery of Issuance Notice (determined pursuant to </w:t>
      </w:r>
      <w:r>
        <w:rPr>
          <w:rFonts w:ascii="Times New Roman" w:hAnsi="Times New Roman"/>
          <w:sz w:val="20"/>
          <w:u w:val="single"/>
        </w:rPr>
        <w:t>Section 3(b)(i)</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Issuance Amount (equal to the total Sales Price for such Shares): $</w:t>
      </w:r>
      <w:r>
        <w:rPr>
          <w:rFonts w:ascii="Times New Roman" w:hAnsi="Times New Roman"/>
          <w:sz w:val="20"/>
          <w:u w:val="single"/>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2"/>
        <w:gridCol w:w="102"/>
        <w:gridCol w:w="7451"/>
      </w:tblGrid>
      <w:tr>
        <w:trPr/>
        <w:tc>
          <w:tcPr>
            <w:tcW w:w="26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451" w:type="dxa"/>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pPr>
            <w:r>
              <w:rPr/>
              <w:t>Number of days in selling period:</w:t>
            </w:r>
          </w:p>
        </w:tc>
        <w:tc>
          <w:tcPr>
            <w:tcW w:w="102"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240"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pPr>
            <w:r>
              <w:rPr/>
              <w:t>First date of selling period:</w:t>
            </w:r>
          </w:p>
        </w:tc>
        <w:tc>
          <w:tcPr>
            <w:tcW w:w="102"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r>
        <w:trPr>
          <w:trHeight w:val="240"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pPr>
            <w:r>
              <w:rPr/>
              <w:t>Last date of selling period:</w:t>
            </w:r>
          </w:p>
        </w:tc>
        <w:tc>
          <w:tcPr>
            <w:tcW w:w="102" w:type="dxa"/>
            <w:tcBorders/>
            <w:vAlign w:val="bottom"/>
          </w:tcPr>
          <w:p>
            <w:pPr>
              <w:pStyle w:val="TableContents"/>
              <w:bidi w:val="0"/>
              <w:spacing w:before="0" w:after="283"/>
              <w:jc w:val="left"/>
              <w:rPr/>
            </w:pPr>
            <w:r>
              <w:rPr/>
              <w:t> </w:t>
            </w:r>
          </w:p>
        </w:tc>
        <w:tc>
          <w:tcPr>
            <w:tcW w:w="7451" w:type="dxa"/>
            <w:tcBorders/>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Settlement Date(s) if other than standard T+1 settlement: </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Floor Price Limitation (in no event less than $1.00 without the prior written consent of the Agent, which consent may be withheld in the Agent’s sole discretion): $</w:t>
      </w:r>
      <w:r>
        <w:rPr>
          <w:rFonts w:ascii="Times New Roman" w:hAnsi="Times New Roman"/>
          <w:sz w:val="20"/>
          <w:u w:val="single"/>
        </w:rPr>
        <w:t>   </w:t>
      </w:r>
      <w:r>
        <w:rPr>
          <w:rFonts w:ascii="Times New Roman" w:hAnsi="Times New Roman"/>
          <w:sz w:val="20"/>
        </w:rPr>
        <w:t xml:space="preserve"> per share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8"/>
        <w:gridCol w:w="126"/>
        <w:gridCol w:w="8981"/>
      </w:tblGrid>
      <w:tr>
        <w:trPr/>
        <w:tc>
          <w:tcPr>
            <w:tcW w:w="109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1098" w:type="dxa"/>
            <w:tcBorders/>
          </w:tcPr>
          <w:p>
            <w:pPr>
              <w:pStyle w:val="TableContents"/>
              <w:bidi w:val="0"/>
              <w:spacing w:before="0" w:after="283"/>
              <w:jc w:val="left"/>
              <w:rPr/>
            </w:pPr>
            <w:r>
              <w:rPr/>
              <w:t>Comments:</w:t>
            </w:r>
          </w:p>
        </w:tc>
        <w:tc>
          <w:tcPr>
            <w:tcW w:w="126" w:type="dxa"/>
            <w:tcBorders/>
            <w:vAlign w:val="bottom"/>
          </w:tcPr>
          <w:p>
            <w:pPr>
              <w:pStyle w:val="TableContents"/>
              <w:bidi w:val="0"/>
              <w:spacing w:before="0" w:after="283"/>
              <w:jc w:val="left"/>
              <w:rPr/>
            </w:pPr>
            <w:r>
              <w:rPr/>
              <w:t> </w:t>
            </w:r>
          </w:p>
        </w:tc>
        <w:tc>
          <w:tcPr>
            <w:tcW w:w="898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three years from the effectiveness of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 - 1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Parties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Kristin Yarema, Ph.D. </w:t>
      </w:r>
    </w:p>
    <w:p>
      <w:pPr>
        <w:pStyle w:val="TextBody"/>
        <w:bidi w:val="0"/>
        <w:spacing w:before="240" w:after="0"/>
        <w:jc w:val="left"/>
        <w:rPr>
          <w:rFonts w:ascii="Times New Roman" w:hAnsi="Times New Roman"/>
          <w:sz w:val="20"/>
        </w:rPr>
      </w:pPr>
      <w:r>
        <w:rPr>
          <w:rFonts w:ascii="Times New Roman" w:hAnsi="Times New Roman"/>
          <w:sz w:val="20"/>
        </w:rPr>
        <w:t xml:space="preserve">Yanina Grant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The Agent </w:t>
      </w:r>
    </w:p>
    <w:p>
      <w:pPr>
        <w:pStyle w:val="TextBody"/>
        <w:bidi w:val="0"/>
        <w:spacing w:before="240" w:after="0"/>
        <w:jc w:val="left"/>
        <w:rPr>
          <w:rFonts w:ascii="Times New Roman" w:hAnsi="Times New Roman"/>
          <w:sz w:val="20"/>
        </w:rPr>
      </w:pPr>
      <w:r>
        <w:rPr>
          <w:rFonts w:ascii="Times New Roman" w:hAnsi="Times New Roman"/>
          <w:sz w:val="20"/>
        </w:rPr>
        <w:t xml:space="preserve">Donald Lynaugh </w:t>
      </w:r>
    </w:p>
    <w:p>
      <w:pPr>
        <w:pStyle w:val="TextBody"/>
        <w:bidi w:val="0"/>
        <w:spacing w:before="240" w:after="0"/>
        <w:jc w:val="left"/>
        <w:rPr>
          <w:rFonts w:ascii="Times New Roman" w:hAnsi="Times New Roman"/>
          <w:sz w:val="20"/>
        </w:rPr>
      </w:pPr>
      <w:r>
        <w:rPr>
          <w:rFonts w:ascii="Times New Roman" w:hAnsi="Times New Roman"/>
          <w:sz w:val="20"/>
        </w:rPr>
        <w:t xml:space="preserve">Michael Magarro </w:t>
      </w:r>
    </w:p>
    <w:p>
      <w:pPr>
        <w:pStyle w:val="TextBody"/>
        <w:bidi w:val="0"/>
        <w:spacing w:before="0" w:after="0"/>
        <w:jc w:val="right"/>
        <w:rPr>
          <w:rFonts w:ascii="Times New Roman" w:hAnsi="Times New Roman"/>
          <w:b/>
          <w:sz w:val="20"/>
        </w:rPr>
      </w:pPr>
      <w:bookmarkStart w:id="31" w:name="d150354dex48.htm"/>
      <w:bookmarkStart w:id="32" w:name="ksd150354dex48"/>
      <w:bookmarkEnd w:id="31"/>
      <w:bookmarkEnd w:id="32"/>
      <w:r>
        <w:rPr>
          <w:rFonts w:ascii="Times New Roman" w:hAnsi="Times New Roman"/>
          <w:b/>
          <w:sz w:val="20"/>
        </w:rPr>
        <w:t xml:space="preserve">Exhibit 4.8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FORM OF COMMON STOCK WARRANT AGREEMENT </w:t>
      </w:r>
    </w:p>
    <w:p>
      <w:pPr>
        <w:pStyle w:val="TextBody"/>
        <w:bidi w:val="0"/>
        <w:spacing w:before="240" w:after="0"/>
        <w:jc w:val="left"/>
        <w:rPr>
          <w:rFonts w:ascii="Times New Roman" w:hAnsi="Times New Roman"/>
          <w:sz w:val="20"/>
        </w:rPr>
      </w:pPr>
      <w:r>
        <w:rPr>
          <w:rFonts w:ascii="Times New Roman" w:hAnsi="Times New Roman"/>
          <w:b/>
          <w:sz w:val="20"/>
        </w:rPr>
        <w:t>THIS COMMON STOCK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IMAGENEBIO,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[If Warrants are sold with other securities —[title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Common Stock of the Company, par value $0.001 per share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1.1 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 principal amount] [[] shares] of Other Securities issued.] </w:t>
      </w:r>
    </w:p>
    <w:p>
      <w:pPr>
        <w:pStyle w:val="TextBody"/>
        <w:bidi w:val="0"/>
        <w:spacing w:before="240" w:after="0"/>
        <w:jc w:val="left"/>
        <w:rPr>
          <w:rFonts w:ascii="Times New Roman" w:hAnsi="Times New Roman"/>
          <w:sz w:val="20"/>
        </w:rPr>
      </w:pPr>
      <w:r>
        <w:rPr>
          <w:rFonts w:ascii="Times New Roman" w:hAnsi="Times New Roman"/>
          <w:b/>
          <w:sz w:val="20"/>
        </w:rPr>
        <w:t xml:space="preserve">1.2 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240" w:after="0"/>
        <w:jc w:val="left"/>
        <w:rPr>
          <w:rFonts w:ascii="Times New Roman" w:hAnsi="Times New Roman"/>
          <w:sz w:val="20"/>
        </w:rPr>
      </w:pPr>
      <w:r>
        <w:rPr>
          <w:rFonts w:ascii="Times New Roman" w:hAnsi="Times New Roman"/>
          <w:b/>
          <w:sz w:val="20"/>
        </w:rPr>
        <w:t>1.3 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2.1 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2.2 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24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3.1 No Rights as Warrant Securityholder Conferred by Warrants or Warrant Certificates. </w:t>
      </w:r>
      <w:r>
        <w:rPr>
          <w:rFonts w:ascii="Times New Roman" w:hAnsi="Times New Roman"/>
          <w:sz w:val="20"/>
        </w:rPr>
        <w:t xml:space="preserve">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240" w:after="0"/>
        <w:jc w:val="left"/>
        <w:rPr>
          <w:rFonts w:ascii="Times New Roman" w:hAnsi="Times New Roman"/>
          <w:sz w:val="20"/>
        </w:rPr>
      </w:pPr>
      <w:r>
        <w:rPr>
          <w:rFonts w:ascii="Times New Roman" w:hAnsi="Times New Roman"/>
          <w:b/>
          <w:sz w:val="20"/>
        </w:rPr>
        <w:t xml:space="preserve">3.2 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3.3 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If at any time or from time to time the holders of Common Stock (or any shares of stock or other securities at the time receivable upon the exercise of the Warrants) shall have received or become entitled to receive, without payment therefor,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any cash paid or payable otherwise than as a cash dividend paid or payable out of the Company’s current or retained earnings;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any evidence of the Company’s indebtedness or rights to subscribe for or purchase the Company’s indebtedness; or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 </w:t>
      </w:r>
    </w:p>
    <w:p>
      <w:pPr>
        <w:pStyle w:val="TextBody"/>
        <w:bidi w:val="0"/>
        <w:spacing w:before="240" w:after="0"/>
        <w:jc w:val="left"/>
        <w:rPr>
          <w:rFonts w:ascii="Times New Roman" w:hAnsi="Times New Roman"/>
          <w:sz w:val="20"/>
        </w:rPr>
      </w:pPr>
      <w:r>
        <w:rPr>
          <w:rFonts w:ascii="Times New Roman" w:hAnsi="Times New Roman"/>
          <w:b/>
          <w:sz w:val="20"/>
        </w:rPr>
        <w:t xml:space="preserve">(f) </w:t>
      </w:r>
      <w:r>
        <w:rPr>
          <w:rFonts w:ascii="Times New Roman" w:hAnsi="Times New Roman"/>
          <w:sz w:val="20"/>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24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 xml:space="preserve">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240" w:after="0"/>
        <w:jc w:val="left"/>
        <w:rPr>
          <w:rFonts w:ascii="Times New Roman" w:hAnsi="Times New Roman"/>
          <w:sz w:val="20"/>
        </w:rPr>
      </w:pPr>
      <w:r>
        <w:rPr>
          <w:rFonts w:ascii="Times New Roman" w:hAnsi="Times New Roman"/>
          <w:b/>
          <w:sz w:val="20"/>
        </w:rPr>
        <w:t xml:space="preserve">(h) </w:t>
      </w:r>
      <w:r>
        <w:rPr>
          <w:rFonts w:ascii="Times New Roman" w:hAnsi="Times New Roman"/>
          <w:sz w:val="20"/>
        </w:rPr>
        <w:t xml:space="preserve">Notwithstanding anything to the contrary herein, in no event shall the Warrant Price, as adjusted in accordance with the terms hereof, be less than the par value per share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3.5 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240" w:after="0"/>
        <w:jc w:val="left"/>
        <w:rPr>
          <w:rFonts w:ascii="Times New Roman" w:hAnsi="Times New Roman"/>
          <w:sz w:val="20"/>
        </w:rPr>
      </w:pPr>
      <w:r>
        <w:rPr>
          <w:rFonts w:ascii="Times New Roman" w:hAnsi="Times New Roman"/>
          <w:b/>
          <w:sz w:val="20"/>
        </w:rPr>
        <w:t xml:space="preserve">3.6 </w:t>
      </w:r>
      <w:r>
        <w:rPr>
          <w:rFonts w:ascii="Times New Roman" w:hAnsi="Times New Roman"/>
          <w:sz w:val="20"/>
        </w:rPr>
        <w:t xml:space="preserve">[If the Warrants are Subject to Acceleration by the Company, Insert — Acceleration of Warrants by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240" w:after="0"/>
        <w:jc w:val="left"/>
        <w:rPr>
          <w:rFonts w:ascii="Times New Roman" w:hAnsi="Times New Roman"/>
          <w:sz w:val="20"/>
        </w:rPr>
      </w:pPr>
      <w:r>
        <w:rPr>
          <w:rFonts w:ascii="Times New Roman" w:hAnsi="Times New Roman"/>
          <w:b/>
          <w:sz w:val="20"/>
        </w:rPr>
        <w:t xml:space="preserve">(b) (b) </w:t>
      </w:r>
      <w:r>
        <w:rPr>
          <w:rFonts w:ascii="Times New Roman" w:hAnsi="Times New Roman"/>
          <w:sz w:val="20"/>
        </w:rPr>
        <w:t>“</w:t>
      </w:r>
      <w:r>
        <w:rPr>
          <w:rFonts w:ascii="Times New Roman" w:hAnsi="Times New Roman"/>
          <w:b/>
          <w:i/>
          <w:sz w:val="20"/>
        </w:rPr>
        <w:t>Market Price</w:t>
      </w:r>
      <w:r>
        <w:rPr>
          <w:rFonts w:ascii="Times New Roman" w:hAnsi="Times New Roman"/>
          <w:sz w:val="20"/>
        </w:rPr>
        <w:t xml:space="preserve">” 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Warrant accelerated may be exercised until [] p.m., [City] time, on the business day next preceding the Acceleration Date. The Warrant Price shall be payable as provided in Section 2.]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4.1 </w:t>
      </w:r>
      <w:r>
        <w:rPr>
          <w:rFonts w:ascii="Times New Roman" w:hAnsi="Times New Roman"/>
          <w:sz w:val="20"/>
        </w:rPr>
        <w:t xml:space="preserve">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240" w:after="0"/>
        <w:jc w:val="left"/>
        <w:rPr>
          <w:rFonts w:ascii="Times New Roman" w:hAnsi="Times New Roman"/>
          <w:sz w:val="20"/>
        </w:rPr>
      </w:pPr>
      <w:r>
        <w:rPr>
          <w:rFonts w:ascii="Times New Roman" w:hAnsi="Times New Roman"/>
          <w:b/>
          <w:sz w:val="20"/>
        </w:rPr>
        <w:t>4.2 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240" w:after="0"/>
        <w:jc w:val="left"/>
        <w:rPr>
          <w:rFonts w:ascii="Times New Roman" w:hAnsi="Times New Roman"/>
          <w:sz w:val="20"/>
        </w:rPr>
      </w:pPr>
      <w:r>
        <w:rPr>
          <w:rFonts w:ascii="Times New Roman" w:hAnsi="Times New Roman"/>
          <w:b/>
          <w:sz w:val="20"/>
        </w:rPr>
        <w:t>4.3 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 xml:space="preserve">5.1 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240" w:after="0"/>
        <w:jc w:val="left"/>
        <w:rPr>
          <w:rFonts w:ascii="Times New Roman" w:hAnsi="Times New Roman"/>
          <w:sz w:val="20"/>
        </w:rPr>
      </w:pPr>
      <w:r>
        <w:rPr>
          <w:rFonts w:ascii="Times New Roman" w:hAnsi="Times New Roman"/>
          <w:b/>
          <w:sz w:val="20"/>
        </w:rPr>
        <w:t>5.2 Conditions of Warrant Agent</w:t>
      </w:r>
      <w:r>
        <w:rPr>
          <w:rFonts w:ascii="Times New Roman" w:hAnsi="Times New Roman"/>
          <w:sz w:val="20"/>
        </w:rPr>
        <w:t>’</w:t>
      </w:r>
      <w:r>
        <w:rPr>
          <w:rFonts w:ascii="Times New Roman" w:hAnsi="Times New Roman"/>
          <w:b/>
          <w:sz w:val="20"/>
        </w:rPr>
        <w:t xml:space="preserve">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240" w:after="0"/>
        <w:jc w:val="left"/>
        <w:rPr>
          <w:rFonts w:ascii="Times New Roman" w:hAnsi="Times New Roman"/>
          <w:sz w:val="20"/>
        </w:rPr>
      </w:pPr>
      <w:r>
        <w:rPr>
          <w:rFonts w:ascii="Times New Roman" w:hAnsi="Times New Roman"/>
          <w:b/>
          <w:sz w:val="20"/>
        </w:rPr>
        <w:t xml:space="preserve">(a) 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240" w:after="0"/>
        <w:jc w:val="left"/>
        <w:rPr>
          <w:rFonts w:ascii="Times New Roman" w:hAnsi="Times New Roman"/>
          <w:sz w:val="20"/>
        </w:rPr>
      </w:pPr>
      <w:r>
        <w:rPr>
          <w:rFonts w:ascii="Times New Roman" w:hAnsi="Times New Roman"/>
          <w:b/>
          <w:sz w:val="20"/>
        </w:rPr>
        <w:t xml:space="preserve">(b) 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(c) 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240" w:after="0"/>
        <w:jc w:val="left"/>
        <w:rPr>
          <w:rFonts w:ascii="Times New Roman" w:hAnsi="Times New Roman"/>
          <w:sz w:val="20"/>
        </w:rPr>
      </w:pPr>
      <w:r>
        <w:rPr>
          <w:rFonts w:ascii="Times New Roman" w:hAnsi="Times New Roman"/>
          <w:b/>
          <w:sz w:val="20"/>
        </w:rPr>
        <w:t xml:space="preserve">(d) 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240" w:after="0"/>
        <w:jc w:val="left"/>
        <w:rPr>
          <w:rFonts w:ascii="Times New Roman" w:hAnsi="Times New Roman"/>
          <w:sz w:val="20"/>
        </w:rPr>
      </w:pPr>
      <w:r>
        <w:rPr>
          <w:rFonts w:ascii="Times New Roman" w:hAnsi="Times New Roman"/>
          <w:b/>
          <w:sz w:val="20"/>
        </w:rPr>
        <w:t xml:space="preserve">(e) 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(f) 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(g) 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240" w:after="0"/>
        <w:jc w:val="left"/>
        <w:rPr>
          <w:rFonts w:ascii="Times New Roman" w:hAnsi="Times New Roman"/>
          <w:sz w:val="20"/>
        </w:rPr>
      </w:pPr>
      <w:r>
        <w:rPr>
          <w:rFonts w:ascii="Times New Roman" w:hAnsi="Times New Roman"/>
          <w:b/>
          <w:sz w:val="20"/>
        </w:rPr>
        <w:t xml:space="preserve">(h) 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(i) 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 xml:space="preserve">6.1 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6.2 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6.3 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ImageneBio, Inc., 12526 High Bluff Drive, Suite 345, San Diego, CA 92130 Attention: [] (or such other address as shall be specified in writing by the Warrant Agent or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6.4 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b/>
          <w:sz w:val="20"/>
        </w:rPr>
        <w:t xml:space="preserve">6.5 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240" w:after="0"/>
        <w:jc w:val="left"/>
        <w:rPr>
          <w:rFonts w:ascii="Times New Roman" w:hAnsi="Times New Roman"/>
          <w:sz w:val="20"/>
        </w:rPr>
      </w:pPr>
      <w:r>
        <w:rPr>
          <w:rFonts w:ascii="Times New Roman" w:hAnsi="Times New Roman"/>
          <w:b/>
          <w:sz w:val="20"/>
        </w:rPr>
        <w:t xml:space="preserve">6.6 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240" w:after="0"/>
        <w:jc w:val="left"/>
        <w:rPr>
          <w:rFonts w:ascii="Times New Roman" w:hAnsi="Times New Roman"/>
          <w:sz w:val="20"/>
        </w:rPr>
      </w:pPr>
      <w:r>
        <w:rPr>
          <w:rFonts w:ascii="Times New Roman" w:hAnsi="Times New Roman"/>
          <w:b/>
          <w:sz w:val="20"/>
        </w:rPr>
        <w:t xml:space="preserve">6.7 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6.8 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240" w:after="0"/>
        <w:jc w:val="left"/>
        <w:rPr>
          <w:rFonts w:ascii="Times New Roman" w:hAnsi="Times New Roman"/>
          <w:sz w:val="20"/>
        </w:rPr>
      </w:pPr>
      <w:r>
        <w:rPr>
          <w:rFonts w:ascii="Times New Roman" w:hAnsi="Times New Roman"/>
          <w:b/>
          <w:sz w:val="20"/>
        </w:rPr>
        <w:t xml:space="preserve">6.9 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b/>
          <w:sz w:val="20"/>
        </w:rPr>
        <w:t xml:space="preserve">6.10 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04"/>
        <w:gridCol w:w="90"/>
        <w:gridCol w:w="2388"/>
      </w:tblGrid>
      <w:tr>
        <w:trPr/>
        <w:tc>
          <w:tcPr>
            <w:tcW w:w="1604"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w:t>
            </w:r>
            <w:r>
              <w:rPr>
                <w:b/>
                <w:sz w:val="20"/>
              </w:rPr>
              <w:t>MAGENE</w:t>
            </w:r>
            <w:r>
              <w:rPr>
                <w:b/>
              </w:rPr>
              <w:t>B</w:t>
            </w:r>
            <w:r>
              <w:rPr>
                <w:b/>
                <w:sz w:val="20"/>
              </w:rPr>
              <w:t>IO</w:t>
            </w:r>
            <w:r>
              <w:rPr>
                <w:b/>
              </w:rPr>
              <w:t>, I</w:t>
            </w:r>
            <w:r>
              <w:rPr>
                <w:b/>
                <w:sz w:val="20"/>
              </w:rPr>
              <w:t>NC</w:t>
            </w:r>
            <w:r>
              <w:rPr>
                <w:b/>
              </w:rPr>
              <w:t>.</w:t>
            </w:r>
            <w:r>
              <w:rPr/>
              <w:t>, as Company</w:t>
            </w:r>
          </w:p>
        </w:tc>
      </w:tr>
      <w:tr>
        <w:trPr>
          <w:trHeight w:val="240" w:hRule="atLeast"/>
        </w:trPr>
        <w:tc>
          <w:tcPr>
            <w:tcW w:w="1604" w:type="dxa"/>
            <w:tcBorders/>
            <w:vAlign w:val="center"/>
          </w:tcPr>
          <w:p>
            <w:pPr>
              <w:pStyle w:val="TableContents"/>
              <w:bidi w:val="0"/>
              <w:spacing w:before="0" w:after="283"/>
              <w:jc w:val="left"/>
              <w:rPr>
                <w:sz w:val="4"/>
                <w:szCs w:val="4"/>
              </w:rPr>
            </w:pPr>
            <w:r>
              <w:rPr>
                <w:sz w:val="4"/>
                <w:szCs w:val="4"/>
              </w:rPr>
            </w:r>
          </w:p>
        </w:tc>
        <w:tc>
          <w:tcPr>
            <w:tcW w:w="2478" w:type="dxa"/>
            <w:gridSpan w:val="2"/>
            <w:tcBorders/>
            <w:vAlign w:val="center"/>
          </w:tcPr>
          <w:p>
            <w:pPr>
              <w:pStyle w:val="TableContents"/>
              <w:bidi w:val="0"/>
              <w:spacing w:before="0" w:after="283"/>
              <w:jc w:val="left"/>
              <w:rPr>
                <w:sz w:val="4"/>
                <w:szCs w:val="4"/>
              </w:rPr>
            </w:pPr>
            <w:r>
              <w:rPr>
                <w:sz w:val="4"/>
                <w:szCs w:val="4"/>
              </w:rPr>
            </w:r>
          </w:p>
        </w:tc>
      </w:tr>
      <w:tr>
        <w:trPr/>
        <w:tc>
          <w:tcPr>
            <w:tcW w:w="1604"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604" w:type="dxa"/>
            <w:tcBorders/>
          </w:tcPr>
          <w:p>
            <w:pPr>
              <w:pStyle w:val="TableContents"/>
              <w:bidi w:val="0"/>
              <w:spacing w:before="0" w:after="283"/>
              <w:jc w:val="left"/>
              <w:rPr/>
            </w:pPr>
            <w:r>
              <w:rPr/>
              <w:t>Name:</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604" w:type="dxa"/>
            <w:tcBorders/>
          </w:tcPr>
          <w:p>
            <w:pPr>
              <w:pStyle w:val="TableContents"/>
              <w:bidi w:val="0"/>
              <w:spacing w:before="0" w:after="283"/>
              <w:jc w:val="left"/>
              <w:rPr/>
            </w:pPr>
            <w:r>
              <w:rPr/>
              <w:t>Title:</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rHeight w:val="240" w:hRule="atLeast"/>
        </w:trPr>
        <w:tc>
          <w:tcPr>
            <w:tcW w:w="1604" w:type="dxa"/>
            <w:tcBorders/>
            <w:vAlign w:val="center"/>
          </w:tcPr>
          <w:p>
            <w:pPr>
              <w:pStyle w:val="TableContents"/>
              <w:bidi w:val="0"/>
              <w:spacing w:before="0" w:after="283"/>
              <w:jc w:val="left"/>
              <w:rPr>
                <w:sz w:val="4"/>
                <w:szCs w:val="4"/>
              </w:rPr>
            </w:pPr>
            <w:r>
              <w:rPr>
                <w:sz w:val="4"/>
                <w:szCs w:val="4"/>
              </w:rPr>
            </w:r>
          </w:p>
        </w:tc>
        <w:tc>
          <w:tcPr>
            <w:tcW w:w="2478" w:type="dxa"/>
            <w:gridSpan w:val="2"/>
            <w:tcBorders/>
            <w:vAlign w:val="center"/>
          </w:tcPr>
          <w:p>
            <w:pPr>
              <w:pStyle w:val="TableContents"/>
              <w:bidi w:val="0"/>
              <w:spacing w:before="0" w:after="283"/>
              <w:jc w:val="left"/>
              <w:rPr>
                <w:sz w:val="4"/>
                <w:szCs w:val="4"/>
              </w:rPr>
            </w:pPr>
            <w:r>
              <w:rPr>
                <w:sz w:val="4"/>
                <w:szCs w:val="4"/>
              </w:rPr>
            </w:r>
          </w:p>
        </w:tc>
      </w:tr>
      <w:tr>
        <w:trPr/>
        <w:tc>
          <w:tcPr>
            <w:tcW w:w="1604" w:type="dxa"/>
            <w:tcBorders/>
          </w:tcPr>
          <w:p>
            <w:pPr>
              <w:pStyle w:val="TableContents"/>
              <w:bidi w:val="0"/>
              <w:spacing w:before="0" w:after="283"/>
              <w:jc w:val="left"/>
              <w:rPr>
                <w:b/>
              </w:rPr>
            </w:pPr>
            <w:r>
              <w:rPr>
                <w:b/>
              </w:rPr>
              <w:t>A</w:t>
            </w:r>
            <w:r>
              <w:rPr>
                <w:b/>
                <w:sz w:val="20"/>
              </w:rPr>
              <w:t>TTEST</w:t>
            </w:r>
            <w:r>
              <w:rPr>
                <w:b/>
              </w:rPr>
              <w:t>:</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604"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1604" w:type="dxa"/>
            <w:tcBorders/>
            <w:vAlign w:val="center"/>
          </w:tcPr>
          <w:p>
            <w:pPr>
              <w:pStyle w:val="TableContents"/>
              <w:bidi w:val="0"/>
              <w:spacing w:before="0" w:after="283"/>
              <w:jc w:val="left"/>
              <w:rPr>
                <w:sz w:val="4"/>
                <w:szCs w:val="4"/>
              </w:rPr>
            </w:pPr>
            <w:r>
              <w:rPr>
                <w:sz w:val="4"/>
                <w:szCs w:val="4"/>
              </w:rPr>
            </w:r>
          </w:p>
        </w:tc>
        <w:tc>
          <w:tcPr>
            <w:tcW w:w="2478" w:type="dxa"/>
            <w:gridSpan w:val="2"/>
            <w:tcBorders/>
            <w:vAlign w:val="center"/>
          </w:tcPr>
          <w:p>
            <w:pPr>
              <w:pStyle w:val="TableContents"/>
              <w:bidi w:val="0"/>
              <w:spacing w:before="0" w:after="283"/>
              <w:jc w:val="left"/>
              <w:rPr>
                <w:sz w:val="4"/>
                <w:szCs w:val="4"/>
              </w:rPr>
            </w:pPr>
            <w:r>
              <w:rPr>
                <w:sz w:val="4"/>
                <w:szCs w:val="4"/>
              </w:rPr>
            </w:r>
          </w:p>
        </w:tc>
      </w:tr>
      <w:tr>
        <w:trPr/>
        <w:tc>
          <w:tcPr>
            <w:tcW w:w="1604"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604" w:type="dxa"/>
            <w:tcBorders/>
          </w:tcPr>
          <w:p>
            <w:pPr>
              <w:pStyle w:val="TableContents"/>
              <w:bidi w:val="0"/>
              <w:spacing w:before="0" w:after="283"/>
              <w:jc w:val="left"/>
              <w:rPr/>
            </w:pPr>
            <w:r>
              <w:rPr/>
              <w:t>Name:</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604" w:type="dxa"/>
            <w:tcBorders/>
          </w:tcPr>
          <w:p>
            <w:pPr>
              <w:pStyle w:val="TableContents"/>
              <w:bidi w:val="0"/>
              <w:spacing w:before="0" w:after="283"/>
              <w:jc w:val="left"/>
              <w:rPr/>
            </w:pPr>
            <w:r>
              <w:rPr/>
              <w:t>Title:</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rHeight w:val="240" w:hRule="atLeast"/>
        </w:trPr>
        <w:tc>
          <w:tcPr>
            <w:tcW w:w="1604" w:type="dxa"/>
            <w:tcBorders/>
            <w:vAlign w:val="center"/>
          </w:tcPr>
          <w:p>
            <w:pPr>
              <w:pStyle w:val="TableContents"/>
              <w:bidi w:val="0"/>
              <w:spacing w:before="0" w:after="283"/>
              <w:jc w:val="left"/>
              <w:rPr>
                <w:sz w:val="4"/>
                <w:szCs w:val="4"/>
              </w:rPr>
            </w:pPr>
            <w:r>
              <w:rPr>
                <w:sz w:val="4"/>
                <w:szCs w:val="4"/>
              </w:rPr>
            </w:r>
          </w:p>
        </w:tc>
        <w:tc>
          <w:tcPr>
            <w:tcW w:w="2478" w:type="dxa"/>
            <w:gridSpan w:val="2"/>
            <w:tcBorders/>
            <w:vAlign w:val="center"/>
          </w:tcPr>
          <w:p>
            <w:pPr>
              <w:pStyle w:val="TableContents"/>
              <w:bidi w:val="0"/>
              <w:spacing w:before="0" w:after="283"/>
              <w:jc w:val="left"/>
              <w:rPr>
                <w:sz w:val="4"/>
                <w:szCs w:val="4"/>
              </w:rPr>
            </w:pPr>
            <w:r>
              <w:rPr>
                <w:sz w:val="4"/>
                <w:szCs w:val="4"/>
              </w:rPr>
            </w:r>
          </w:p>
        </w:tc>
      </w:tr>
      <w:tr>
        <w:trPr/>
        <w:tc>
          <w:tcPr>
            <w:tcW w:w="1604" w:type="dxa"/>
            <w:tcBorders/>
          </w:tcPr>
          <w:p>
            <w:pPr>
              <w:pStyle w:val="TableContents"/>
              <w:bidi w:val="0"/>
              <w:spacing w:before="0" w:after="283"/>
              <w:jc w:val="left"/>
              <w:rPr>
                <w:b/>
              </w:rPr>
            </w:pPr>
            <w:r>
              <w:rPr>
                <w:b/>
              </w:rPr>
              <w:t>A</w:t>
            </w:r>
            <w:r>
              <w:rPr>
                <w:b/>
                <w:sz w:val="20"/>
              </w:rPr>
              <w:t>TTEST</w:t>
            </w:r>
            <w:r>
              <w:rPr>
                <w:b/>
              </w:rPr>
              <w:t>:</w:t>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r>
        <w:trPr/>
        <w:tc>
          <w:tcPr>
            <w:tcW w:w="1604"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2388"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IMAGENEBIO, INC. COMMON STOCK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b/>
                <w:i/>
              </w:rPr>
            </w:pPr>
            <w:r>
              <w:rPr>
                <w:b/>
                <w:i/>
              </w:rPr>
              <w:t>[Form of Legend if Warrants are not immediately exercisable.]</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w:t>
              <w:br/>
              <w:t>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sz w:val="20"/>
        </w:rPr>
      </w:pPr>
      <w:r>
        <w:rPr>
          <w:rFonts w:ascii="Times New Roman" w:hAnsi="Times New Roman"/>
          <w:b/>
          <w:sz w:val="20"/>
        </w:rPr>
        <w:t>COMMON STOCK, PAR VALUE $</w:t>
      </w:r>
      <w:r>
        <w:rPr>
          <w:rFonts w:ascii="Times New Roman" w:hAnsi="Times New Roman"/>
          <w:sz w:val="20"/>
        </w:rPr>
        <w:t xml:space="preserve">0.001 </w:t>
      </w:r>
      <w:r>
        <w:rPr>
          <w:rFonts w:ascii="Times New Roman" w:hAnsi="Times New Roman"/>
          <w:b/>
          <w:sz w:val="20"/>
        </w:rPr>
        <w:t>PER SHARE</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shares of Common Stock, par value $0.001 per share (the “</w:t>
      </w:r>
      <w:r>
        <w:rPr>
          <w:rFonts w:ascii="Times New Roman" w:hAnsi="Times New Roman"/>
          <w:b/>
          <w:i/>
          <w:sz w:val="20"/>
        </w:rPr>
        <w:t>Warrant Securities</w:t>
      </w:r>
      <w:r>
        <w:rPr>
          <w:rFonts w:ascii="Times New Roman" w:hAnsi="Times New Roman"/>
          <w:sz w:val="20"/>
        </w:rPr>
        <w:t>”), of ImageneBio, Inc. (the “</w:t>
      </w:r>
      <w:r>
        <w:rPr>
          <w:rFonts w:ascii="Times New Roman" w:hAnsi="Times New Roman"/>
          <w:b/>
          <w:i/>
          <w:sz w:val="20"/>
        </w:rPr>
        <w:t>Company</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264"/>
        <w:gridCol w:w="64"/>
        <w:gridCol w:w="2754"/>
      </w:tblGrid>
      <w:tr>
        <w:trPr/>
        <w:tc>
          <w:tcPr>
            <w:tcW w:w="126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1264" w:type="dxa"/>
            <w:tcBorders/>
          </w:tcPr>
          <w:p>
            <w:pPr>
              <w:pStyle w:val="TableContents"/>
              <w:bidi w:val="0"/>
              <w:spacing w:before="0" w:after="283"/>
              <w:jc w:val="left"/>
              <w:rPr/>
            </w:pPr>
            <w:r>
              <w:rPr/>
              <w:t>Dated:</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ImageneBio, Inc.</w:t>
            </w:r>
            <w:r>
              <w:rPr/>
              <w:t>, as Company</w:t>
            </w:r>
          </w:p>
        </w:tc>
      </w:tr>
      <w:tr>
        <w:trPr>
          <w:trHeight w:val="240" w:hRule="atLeast"/>
        </w:trPr>
        <w:tc>
          <w:tcPr>
            <w:tcW w:w="1264" w:type="dxa"/>
            <w:tcBorders/>
            <w:vAlign w:val="center"/>
          </w:tcPr>
          <w:p>
            <w:pPr>
              <w:pStyle w:val="TableContents"/>
              <w:bidi w:val="0"/>
              <w:spacing w:before="0" w:after="283"/>
              <w:jc w:val="left"/>
              <w:rPr>
                <w:sz w:val="4"/>
                <w:szCs w:val="4"/>
              </w:rPr>
            </w:pPr>
            <w:r>
              <w:rPr>
                <w:sz w:val="4"/>
                <w:szCs w:val="4"/>
              </w:rPr>
            </w:r>
          </w:p>
        </w:tc>
        <w:tc>
          <w:tcPr>
            <w:tcW w:w="2818" w:type="dxa"/>
            <w:gridSpan w:val="2"/>
            <w:tcBorders/>
            <w:vAlign w:val="center"/>
          </w:tcPr>
          <w:p>
            <w:pPr>
              <w:pStyle w:val="TableContents"/>
              <w:bidi w:val="0"/>
              <w:spacing w:before="0" w:after="283"/>
              <w:jc w:val="left"/>
              <w:rPr>
                <w:sz w:val="4"/>
                <w:szCs w:val="4"/>
              </w:rPr>
            </w:pPr>
            <w:r>
              <w:rPr>
                <w:sz w:val="4"/>
                <w:szCs w:val="4"/>
              </w:rPr>
            </w:r>
          </w:p>
        </w:tc>
      </w:tr>
      <w:tr>
        <w:trPr/>
        <w:tc>
          <w:tcPr>
            <w:tcW w:w="1264" w:type="dxa"/>
            <w:tcBorders/>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c>
          <w:tcPr>
            <w:tcW w:w="1264" w:type="dxa"/>
            <w:tcBorders/>
          </w:tcPr>
          <w:p>
            <w:pPr>
              <w:pStyle w:val="TableContents"/>
              <w:bidi w:val="0"/>
              <w:spacing w:before="0" w:after="283"/>
              <w:jc w:val="left"/>
              <w:rPr/>
            </w:pPr>
            <w:r>
              <w:rPr/>
              <w:t>Name:</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c>
          <w:tcPr>
            <w:tcW w:w="1264" w:type="dxa"/>
            <w:tcBorders/>
          </w:tcPr>
          <w:p>
            <w:pPr>
              <w:pStyle w:val="TableContents"/>
              <w:bidi w:val="0"/>
              <w:spacing w:before="0" w:after="283"/>
              <w:jc w:val="left"/>
              <w:rPr/>
            </w:pPr>
            <w:r>
              <w:rPr/>
              <w:t>Title:</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rHeight w:val="240" w:hRule="atLeast"/>
        </w:trPr>
        <w:tc>
          <w:tcPr>
            <w:tcW w:w="1264" w:type="dxa"/>
            <w:tcBorders/>
            <w:vAlign w:val="center"/>
          </w:tcPr>
          <w:p>
            <w:pPr>
              <w:pStyle w:val="TableContents"/>
              <w:bidi w:val="0"/>
              <w:spacing w:before="0" w:after="283"/>
              <w:jc w:val="left"/>
              <w:rPr>
                <w:sz w:val="4"/>
                <w:szCs w:val="4"/>
              </w:rPr>
            </w:pPr>
            <w:r>
              <w:rPr>
                <w:sz w:val="4"/>
                <w:szCs w:val="4"/>
              </w:rPr>
            </w:r>
          </w:p>
        </w:tc>
        <w:tc>
          <w:tcPr>
            <w:tcW w:w="2818" w:type="dxa"/>
            <w:gridSpan w:val="2"/>
            <w:tcBorders/>
            <w:vAlign w:val="center"/>
          </w:tcPr>
          <w:p>
            <w:pPr>
              <w:pStyle w:val="TableContents"/>
              <w:bidi w:val="0"/>
              <w:spacing w:before="0" w:after="283"/>
              <w:jc w:val="left"/>
              <w:rPr>
                <w:sz w:val="4"/>
                <w:szCs w:val="4"/>
              </w:rPr>
            </w:pPr>
            <w:r>
              <w:rPr>
                <w:sz w:val="4"/>
                <w:szCs w:val="4"/>
              </w:rPr>
            </w:r>
          </w:p>
        </w:tc>
      </w:tr>
      <w:tr>
        <w:trPr/>
        <w:tc>
          <w:tcPr>
            <w:tcW w:w="1264" w:type="dxa"/>
            <w:tcBorders/>
          </w:tcPr>
          <w:p>
            <w:pPr>
              <w:pStyle w:val="TableContents"/>
              <w:bidi w:val="0"/>
              <w:spacing w:before="0" w:after="283"/>
              <w:jc w:val="left"/>
              <w:rPr>
                <w:b/>
              </w:rPr>
            </w:pPr>
            <w:r>
              <w:rPr>
                <w:b/>
              </w:rPr>
              <w:t>ATTEST:</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c>
          <w:tcPr>
            <w:tcW w:w="1264"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COUNTERSIGNED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w:t>
            </w:r>
            <w:r>
              <w:rPr>
                <w:rFonts w:ascii="Times New Roman" w:hAnsi="Times New Roman"/>
                <w:sz w:val="20"/>
              </w:rPr>
              <w:t>, as Warrant Agent</w:t>
            </w:r>
          </w:p>
        </w:tc>
      </w:tr>
      <w:tr>
        <w:trPr>
          <w:trHeight w:val="240" w:hRule="atLeast"/>
        </w:trPr>
        <w:tc>
          <w:tcPr>
            <w:tcW w:w="1264" w:type="dxa"/>
            <w:tcBorders/>
            <w:vAlign w:val="center"/>
          </w:tcPr>
          <w:p>
            <w:pPr>
              <w:pStyle w:val="TableContents"/>
              <w:bidi w:val="0"/>
              <w:spacing w:before="0" w:after="283"/>
              <w:jc w:val="left"/>
              <w:rPr>
                <w:sz w:val="4"/>
                <w:szCs w:val="4"/>
              </w:rPr>
            </w:pPr>
            <w:r>
              <w:rPr>
                <w:sz w:val="4"/>
                <w:szCs w:val="4"/>
              </w:rPr>
            </w:r>
          </w:p>
        </w:tc>
        <w:tc>
          <w:tcPr>
            <w:tcW w:w="2818" w:type="dxa"/>
            <w:gridSpan w:val="2"/>
            <w:tcBorders/>
            <w:vAlign w:val="center"/>
          </w:tcPr>
          <w:p>
            <w:pPr>
              <w:pStyle w:val="TableContents"/>
              <w:bidi w:val="0"/>
              <w:spacing w:before="0" w:after="283"/>
              <w:jc w:val="left"/>
              <w:rPr>
                <w:sz w:val="4"/>
                <w:szCs w:val="4"/>
              </w:rPr>
            </w:pPr>
            <w:r>
              <w:rPr>
                <w:sz w:val="4"/>
                <w:szCs w:val="4"/>
              </w:rPr>
            </w:r>
          </w:p>
        </w:tc>
      </w:tr>
      <w:tr>
        <w:trPr/>
        <w:tc>
          <w:tcPr>
            <w:tcW w:w="1264" w:type="dxa"/>
            <w:tcBorders/>
          </w:tcPr>
          <w:p>
            <w:pPr>
              <w:pStyle w:val="TableContents"/>
              <w:bidi w:val="0"/>
              <w:spacing w:before="0" w:after="283"/>
              <w:jc w:val="left"/>
              <w:rPr/>
            </w:pPr>
            <w:r>
              <w:rPr/>
              <w:t>By:</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c>
          <w:tcPr>
            <w:tcW w:w="1264" w:type="dxa"/>
            <w:tcBorders/>
          </w:tcPr>
          <w:p>
            <w:pPr>
              <w:pStyle w:val="TableContents"/>
              <w:bidi w:val="0"/>
              <w:spacing w:before="0" w:after="283"/>
              <w:jc w:val="left"/>
              <w:rPr/>
            </w:pPr>
            <w:r>
              <w:rPr/>
              <w:t>Name:</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c>
          <w:tcPr>
            <w:tcW w:w="1264" w:type="dxa"/>
            <w:tcBorders/>
          </w:tcPr>
          <w:p>
            <w:pPr>
              <w:pStyle w:val="TableContents"/>
              <w:bidi w:val="0"/>
              <w:spacing w:before="0" w:after="283"/>
              <w:jc w:val="left"/>
              <w:rPr/>
            </w:pPr>
            <w:r>
              <w:rPr/>
              <w:t>Title:</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rHeight w:val="240" w:hRule="atLeast"/>
        </w:trPr>
        <w:tc>
          <w:tcPr>
            <w:tcW w:w="1264" w:type="dxa"/>
            <w:tcBorders/>
            <w:vAlign w:val="center"/>
          </w:tcPr>
          <w:p>
            <w:pPr>
              <w:pStyle w:val="TableContents"/>
              <w:bidi w:val="0"/>
              <w:spacing w:before="0" w:after="283"/>
              <w:jc w:val="left"/>
              <w:rPr>
                <w:sz w:val="4"/>
                <w:szCs w:val="4"/>
              </w:rPr>
            </w:pPr>
            <w:r>
              <w:rPr>
                <w:sz w:val="4"/>
                <w:szCs w:val="4"/>
              </w:rPr>
            </w:r>
          </w:p>
        </w:tc>
        <w:tc>
          <w:tcPr>
            <w:tcW w:w="2818" w:type="dxa"/>
            <w:gridSpan w:val="2"/>
            <w:tcBorders/>
            <w:vAlign w:val="center"/>
          </w:tcPr>
          <w:p>
            <w:pPr>
              <w:pStyle w:val="TableContents"/>
              <w:bidi w:val="0"/>
              <w:spacing w:before="0" w:after="283"/>
              <w:jc w:val="left"/>
              <w:rPr>
                <w:sz w:val="4"/>
                <w:szCs w:val="4"/>
              </w:rPr>
            </w:pPr>
            <w:r>
              <w:rPr>
                <w:sz w:val="4"/>
                <w:szCs w:val="4"/>
              </w:rPr>
            </w:r>
          </w:p>
        </w:tc>
      </w:tr>
      <w:tr>
        <w:trPr/>
        <w:tc>
          <w:tcPr>
            <w:tcW w:w="1264" w:type="dxa"/>
            <w:tcBorders/>
          </w:tcPr>
          <w:p>
            <w:pPr>
              <w:pStyle w:val="TableContents"/>
              <w:bidi w:val="0"/>
              <w:spacing w:before="0" w:after="283"/>
              <w:jc w:val="left"/>
              <w:rPr>
                <w:b/>
              </w:rPr>
            </w:pPr>
            <w:r>
              <w:rPr>
                <w:b/>
              </w:rPr>
              <w:t>ATTEST:</w:t>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r>
        <w:trPr/>
        <w:tc>
          <w:tcPr>
            <w:tcW w:w="1264"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2754"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shares of the Common Stock, par value $0.001 per share (the “</w:t>
      </w:r>
      <w:r>
        <w:rPr>
          <w:rFonts w:ascii="Times New Roman" w:hAnsi="Times New Roman"/>
          <w:b/>
          <w:i/>
          <w:sz w:val="20"/>
        </w:rPr>
        <w:t>Warrant Securities</w:t>
      </w:r>
      <w:r>
        <w:rPr>
          <w:rFonts w:ascii="Times New Roman" w:hAnsi="Times New Roman"/>
          <w:sz w:val="20"/>
        </w:rPr>
        <w:t xml:space="preserve">”), of ImageneBio,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ImageneBio,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7"/>
        <w:gridCol w:w="109"/>
        <w:gridCol w:w="4425"/>
        <w:gridCol w:w="120"/>
        <w:gridCol w:w="598"/>
        <w:gridCol w:w="120"/>
        <w:gridCol w:w="4236"/>
      </w:tblGrid>
      <w:tr>
        <w:trPr/>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36" w:type="dxa"/>
            <w:tcBorders/>
            <w:vAlign w:val="center"/>
          </w:tcPr>
          <w:p>
            <w:pPr>
              <w:pStyle w:val="TableContents"/>
              <w:bidi w:val="0"/>
              <w:spacing w:before="0" w:after="283"/>
              <w:jc w:val="left"/>
              <w:rPr>
                <w:sz w:val="4"/>
                <w:szCs w:val="4"/>
              </w:rPr>
            </w:pPr>
            <w:r>
              <w:rPr>
                <w:sz w:val="4"/>
                <w:szCs w:val="4"/>
              </w:rPr>
            </w:r>
          </w:p>
        </w:tc>
      </w:tr>
      <w:tr>
        <w:trPr/>
        <w:tc>
          <w:tcPr>
            <w:tcW w:w="597" w:type="dxa"/>
            <w:tcBorders/>
          </w:tcPr>
          <w:p>
            <w:pPr>
              <w:pStyle w:val="TableContents"/>
              <w:bidi w:val="0"/>
              <w:spacing w:before="0" w:after="283"/>
              <w:jc w:val="left"/>
              <w:rPr/>
            </w:pPr>
            <w:r>
              <w:rPr/>
              <w:t>Dated:</w:t>
            </w:r>
          </w:p>
        </w:tc>
        <w:tc>
          <w:tcPr>
            <w:tcW w:w="109" w:type="dxa"/>
            <w:tcBorders/>
            <w:vAlign w:val="bottom"/>
          </w:tcPr>
          <w:p>
            <w:pPr>
              <w:pStyle w:val="TableContents"/>
              <w:bidi w:val="0"/>
              <w:spacing w:before="0" w:after="283"/>
              <w:jc w:val="left"/>
              <w:rPr/>
            </w:pPr>
            <w:r>
              <w:rPr/>
              <w:t> </w:t>
            </w:r>
          </w:p>
        </w:tc>
        <w:tc>
          <w:tcPr>
            <w:tcW w:w="4425"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4236" w:type="dxa"/>
            <w:tcBorders/>
          </w:tcPr>
          <w:p>
            <w:pPr>
              <w:pStyle w:val="TableContents"/>
              <w:pBdr>
                <w:bottom w:val="single" w:sz="2" w:space="1" w:color="000000"/>
              </w:pBdr>
              <w:bidi w:val="0"/>
              <w:spacing w:before="0" w:after="20"/>
              <w:jc w:val="left"/>
              <w:rPr/>
            </w:pPr>
            <w:r>
              <w:rPr/>
              <w:t> </w:t>
            </w:r>
          </w:p>
        </w:tc>
      </w:tr>
      <w:tr>
        <w:trPr/>
        <w:tc>
          <w:tcPr>
            <w:tcW w:w="59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42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236" w:type="dxa"/>
            <w:tcBorders/>
          </w:tcPr>
          <w:p>
            <w:pPr>
              <w:pStyle w:val="TableContents"/>
              <w:bidi w:val="0"/>
              <w:spacing w:before="0" w:after="283"/>
              <w:jc w:val="center"/>
              <w:rPr/>
            </w:pPr>
            <w:r>
              <w:rPr/>
              <w:t>Please Print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(Insert Social Security or Other Identifying Number of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Signature Guaranteed: </w:t>
            </w:r>
            <w:r>
              <w:rPr>
                <w:u w:val="single"/>
              </w:rPr>
              <w:t>           </w:t>
            </w:r>
          </w:p>
        </w:tc>
      </w:tr>
      <w:tr>
        <w:trPr/>
        <w:tc>
          <w:tcPr>
            <w:tcW w:w="4082" w:type="dxa"/>
            <w:tcBorders/>
          </w:tcPr>
          <w:p>
            <w:pPr>
              <w:pStyle w:val="TableContents"/>
              <w:bidi w:val="0"/>
              <w:spacing w:before="0" w:after="0"/>
              <w:jc w:val="center"/>
              <w:rPr>
                <w:rFonts w:ascii="Times New Roman" w:hAnsi="Times New Roman"/>
                <w:sz w:val="20"/>
              </w:rPr>
            </w:pPr>
            <w:r>
              <w:rPr>
                <w:rFonts w:ascii="Times New Roman" w:hAnsi="Times New Roman"/>
                <w:sz w:val="20"/>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24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240" w:after="0"/>
        <w:jc w:val="left"/>
        <w:rPr>
          <w:rFonts w:ascii="Times New Roman" w:hAnsi="Times New Roman"/>
          <w:sz w:val="20"/>
        </w:rPr>
      </w:pPr>
      <w:r>
        <w:rPr>
          <w:rFonts w:ascii="Times New Roman" w:hAnsi="Times New Roman"/>
          <w:sz w:val="20"/>
        </w:rPr>
        <w:t xml:space="preserve">[Instructions as to form and delivery of Warrant Securities and, if applicable, Warrant Certificates evidencing Warrants for the number of Warrant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53"/>
        <w:gridCol w:w="109"/>
        <w:gridCol w:w="637"/>
        <w:gridCol w:w="120"/>
        <w:gridCol w:w="4586"/>
      </w:tblGrid>
      <w:tr>
        <w:trPr/>
        <w:tc>
          <w:tcPr>
            <w:tcW w:w="475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86" w:type="dxa"/>
            <w:tcBorders/>
            <w:vAlign w:val="center"/>
          </w:tcPr>
          <w:p>
            <w:pPr>
              <w:pStyle w:val="TableContents"/>
              <w:bidi w:val="0"/>
              <w:spacing w:before="0" w:after="283"/>
              <w:jc w:val="left"/>
              <w:rPr>
                <w:sz w:val="4"/>
                <w:szCs w:val="4"/>
              </w:rPr>
            </w:pPr>
            <w:r>
              <w:rPr>
                <w:sz w:val="4"/>
                <w:szCs w:val="4"/>
              </w:rPr>
            </w:r>
          </w:p>
        </w:tc>
      </w:tr>
      <w:tr>
        <w:trPr/>
        <w:tc>
          <w:tcPr>
            <w:tcW w:w="4753"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(Please print name and address including zip code)</w:t>
            </w:r>
          </w:p>
        </w:tc>
        <w:tc>
          <w:tcPr>
            <w:tcW w:w="109" w:type="dxa"/>
            <w:tcBorders/>
            <w:vAlign w:val="bottom"/>
          </w:tcPr>
          <w:p>
            <w:pPr>
              <w:pStyle w:val="TableContents"/>
              <w:bidi w:val="0"/>
              <w:spacing w:before="0" w:after="283"/>
              <w:jc w:val="left"/>
              <w:rPr/>
            </w:pPr>
            <w:r>
              <w:rPr/>
              <w:t> </w:t>
            </w:r>
          </w:p>
        </w:tc>
        <w:tc>
          <w:tcPr>
            <w:tcW w:w="637"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86"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_______________ shares of [Title of Warrant Securities] of ImageneBio,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
        <w:gridCol w:w="109"/>
        <w:gridCol w:w="4369"/>
        <w:gridCol w:w="122"/>
        <w:gridCol w:w="609"/>
        <w:gridCol w:w="122"/>
        <w:gridCol w:w="4266"/>
      </w:tblGrid>
      <w:tr>
        <w:trPr/>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6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266" w:type="dxa"/>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Dated:</w:t>
            </w:r>
          </w:p>
        </w:tc>
        <w:tc>
          <w:tcPr>
            <w:tcW w:w="109" w:type="dxa"/>
            <w:tcBorders/>
            <w:vAlign w:val="bottom"/>
          </w:tcPr>
          <w:p>
            <w:pPr>
              <w:pStyle w:val="TableContents"/>
              <w:bidi w:val="0"/>
              <w:spacing w:before="0" w:after="283"/>
              <w:jc w:val="left"/>
              <w:rPr/>
            </w:pPr>
            <w:r>
              <w:rPr/>
              <w:t> </w:t>
            </w:r>
          </w:p>
        </w:tc>
        <w:tc>
          <w:tcPr>
            <w:tcW w:w="4369" w:type="dxa"/>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Name:</w:t>
            </w:r>
          </w:p>
        </w:tc>
        <w:tc>
          <w:tcPr>
            <w:tcW w:w="122" w:type="dxa"/>
            <w:tcBorders/>
            <w:vAlign w:val="bottom"/>
          </w:tcPr>
          <w:p>
            <w:pPr>
              <w:pStyle w:val="TableContents"/>
              <w:bidi w:val="0"/>
              <w:spacing w:before="0" w:after="283"/>
              <w:jc w:val="left"/>
              <w:rPr/>
            </w:pPr>
            <w:r>
              <w:rPr/>
              <w:t>  </w:t>
            </w:r>
          </w:p>
        </w:tc>
        <w:tc>
          <w:tcPr>
            <w:tcW w:w="4266" w:type="dxa"/>
            <w:tcBorders/>
          </w:tcPr>
          <w:p>
            <w:pPr>
              <w:pStyle w:val="TableContents"/>
              <w:pBdr>
                <w:bottom w:val="single" w:sz="2" w:space="1" w:color="000000"/>
              </w:pBdr>
              <w:bidi w:val="0"/>
              <w:spacing w:before="0" w:after="20"/>
              <w:jc w:val="left"/>
              <w:rPr/>
            </w:pPr>
            <w:r>
              <w:rPr/>
              <w:t> </w:t>
            </w:r>
          </w:p>
        </w:tc>
      </w:tr>
      <w:tr>
        <w:trPr/>
        <w:tc>
          <w:tcPr>
            <w:tcW w:w="608"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36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9"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266"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Signature Guaranteed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right"/>
        <w:rPr>
          <w:rFonts w:ascii="Times New Roman" w:hAnsi="Times New Roman"/>
          <w:b/>
          <w:sz w:val="20"/>
        </w:rPr>
      </w:pPr>
      <w:bookmarkStart w:id="33" w:name="d150354dex49.htm"/>
      <w:bookmarkStart w:id="34" w:name="ksd150354dex49"/>
      <w:bookmarkEnd w:id="33"/>
      <w:bookmarkEnd w:id="34"/>
      <w:r>
        <w:rPr>
          <w:rFonts w:ascii="Times New Roman" w:hAnsi="Times New Roman"/>
          <w:b/>
          <w:sz w:val="20"/>
        </w:rPr>
        <w:t xml:space="preserve">Exhibit 4.9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PREFERRED STOCK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FORM OF PREFERRED STOCK WARRANT AGREEMENT </w:t>
      </w:r>
    </w:p>
    <w:p>
      <w:pPr>
        <w:pStyle w:val="TextBody"/>
        <w:bidi w:val="0"/>
        <w:spacing w:before="240" w:after="0"/>
        <w:jc w:val="left"/>
        <w:rPr>
          <w:rFonts w:ascii="Times New Roman" w:hAnsi="Times New Roman"/>
          <w:sz w:val="20"/>
        </w:rPr>
      </w:pPr>
      <w:r>
        <w:rPr>
          <w:rFonts w:ascii="Times New Roman" w:hAnsi="Times New Roman"/>
          <w:b/>
          <w:sz w:val="20"/>
        </w:rPr>
        <w:t>THIS PREFERRED STOCK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IMAGENEBIO,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 </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Preferred Stock purchasable through exercise of Warrants] of the Company, par value $0.001 per share (the “</w:t>
      </w:r>
      <w:r>
        <w:rPr>
          <w:rFonts w:ascii="Times New Roman" w:hAnsi="Times New Roman"/>
          <w:b/>
          <w:i/>
          <w:sz w:val="20"/>
        </w:rPr>
        <w:t>Warrant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1.1 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 w:hAnsi="Times New Roman"/>
          <w:b/>
          <w:i/>
          <w:sz w:val="20"/>
        </w:rPr>
        <w:t>If Other Securities and Warrants</w:t>
      </w:r>
      <w:r>
        <w:rPr>
          <w:rFonts w:ascii="Times New Roman" w:hAnsi="Times New Roman"/>
          <w:sz w:val="20"/>
        </w:rPr>
        <w:t xml:space="preserve"> —Warrant Certificates will be issued with the Other Securities and each Warrant Certificate will evidence [] Warrants for each [$[] principal amount] [[] shares] of Other Securities issued.] </w:t>
      </w:r>
    </w:p>
    <w:p>
      <w:pPr>
        <w:pStyle w:val="TextBody"/>
        <w:bidi w:val="0"/>
        <w:spacing w:before="120" w:after="0"/>
        <w:jc w:val="left"/>
        <w:rPr>
          <w:rFonts w:ascii="Times New Roman" w:hAnsi="Times New Roman"/>
          <w:sz w:val="20"/>
        </w:rPr>
      </w:pPr>
      <w:r>
        <w:rPr>
          <w:rFonts w:ascii="Times New Roman" w:hAnsi="Times New Roman"/>
          <w:b/>
          <w:sz w:val="20"/>
        </w:rPr>
        <w:t xml:space="preserve">1.2 Execution and Delivery of Warrant Certificates. </w:t>
      </w:r>
      <w:r>
        <w:rPr>
          <w:rFonts w:ascii="Times New Roman" w:hAnsi="Times New Roman"/>
          <w:sz w:val="20"/>
        </w:rPr>
        <w:t xml:space="preserve">Each Warrant Certificate, whenever issued,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120" w:after="0"/>
        <w:jc w:val="left"/>
        <w:rPr>
          <w:rFonts w:ascii="Times New Roman" w:hAnsi="Times New Roman"/>
          <w:sz w:val="20"/>
        </w:rPr>
      </w:pPr>
      <w:r>
        <w:rPr>
          <w:rFonts w:ascii="Times New Roman" w:hAnsi="Times New Roman"/>
          <w:b/>
          <w:sz w:val="20"/>
        </w:rPr>
        <w:t>1.3 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 xml:space="preserve">2.1 Warrant Price. </w:t>
      </w:r>
      <w:r>
        <w:rPr>
          <w:rFonts w:ascii="Times New Roman" w:hAnsi="Times New Roman"/>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2.2 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12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12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 </w:t>
      </w:r>
    </w:p>
    <w:p>
      <w:pPr>
        <w:pStyle w:val="TextBody"/>
        <w:bidi w:val="0"/>
        <w:spacing w:before="12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 </w:t>
      </w:r>
    </w:p>
    <w:p>
      <w:pPr>
        <w:pStyle w:val="TextBody"/>
        <w:bidi w:val="0"/>
        <w:spacing w:before="12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 </w:t>
      </w:r>
    </w:p>
    <w:p>
      <w:pPr>
        <w:pStyle w:val="TextBody"/>
        <w:bidi w:val="0"/>
        <w:spacing w:before="12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Prior to the issuance of any Warrants there shall have been reserved, and the Company shall at all times through the Expiration Date keep reserved, out of its authorized but unissued Warrant Securities, a number of shares sufficient to provide for the exercise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3.1 No Rights as Warrant Securityholder Conferred by Warrants or Warrant Certificates. </w:t>
      </w:r>
      <w:r>
        <w:rPr>
          <w:rFonts w:ascii="Times New Roman" w:hAnsi="Times New Roman"/>
          <w:sz w:val="20"/>
        </w:rPr>
        <w:t xml:space="preserve">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 </w:t>
      </w:r>
    </w:p>
    <w:p>
      <w:pPr>
        <w:pStyle w:val="TextBody"/>
        <w:bidi w:val="0"/>
        <w:spacing w:before="120" w:after="0"/>
        <w:jc w:val="left"/>
        <w:rPr>
          <w:rFonts w:ascii="Times New Roman" w:hAnsi="Times New Roman"/>
          <w:sz w:val="20"/>
        </w:rPr>
      </w:pPr>
      <w:r>
        <w:rPr>
          <w:rFonts w:ascii="Times New Roman" w:hAnsi="Times New Roman"/>
          <w:b/>
          <w:sz w:val="20"/>
        </w:rPr>
        <w:t xml:space="preserve">3.2 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120" w:after="0"/>
        <w:jc w:val="left"/>
        <w:rPr>
          <w:rFonts w:ascii="Times New Roman" w:hAnsi="Times New Roman"/>
          <w:sz w:val="20"/>
        </w:rPr>
      </w:pPr>
      <w:r>
        <w:rPr>
          <w:rFonts w:ascii="Times New Roman" w:hAnsi="Times New Roman"/>
          <w:b/>
          <w:sz w:val="20"/>
        </w:rPr>
        <w:t xml:space="preserve">3.3 Holder of Warrant Certificate May Enforce Rights. </w:t>
      </w:r>
      <w:r>
        <w:rPr>
          <w:rFonts w:ascii="Times New Roman" w:hAnsi="Times New Roman"/>
          <w:sz w:val="20"/>
        </w:rPr>
        <w:t xml:space="preserve">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3.4 Adjustments.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 </w:t>
      </w:r>
    </w:p>
    <w:p>
      <w:pPr>
        <w:pStyle w:val="TextBody"/>
        <w:bidi w:val="0"/>
        <w:spacing w:before="12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 </w:t>
      </w:r>
    </w:p>
    <w:p>
      <w:pPr>
        <w:pStyle w:val="TextBody"/>
        <w:bidi w:val="0"/>
        <w:spacing w:before="12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any cash paid or payable otherwise than in accordance with the terms of [title of Preferred Stock purchasable through exercise of Warrants] or as a cash dividend paid or payable out of the Company’s current or retained earnings; </w:t>
      </w:r>
    </w:p>
    <w:p>
      <w:pPr>
        <w:pStyle w:val="TextBody"/>
        <w:bidi w:val="0"/>
        <w:spacing w:before="12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any evidence of the Company’s indebtedness or rights to subscribe for or purchase the Company’s indebtedness; or </w:t>
      </w:r>
    </w:p>
    <w:p>
      <w:pPr>
        <w:pStyle w:val="TextBody"/>
        <w:bidi w:val="0"/>
        <w:spacing w:before="12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 xml:space="preserve">[title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 </w:t>
      </w:r>
    </w:p>
    <w:p>
      <w:pPr>
        <w:pStyle w:val="TextBody"/>
        <w:bidi w:val="0"/>
        <w:spacing w:before="12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12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 </w:t>
      </w:r>
    </w:p>
    <w:p>
      <w:pPr>
        <w:pStyle w:val="TextBody"/>
        <w:bidi w:val="0"/>
        <w:spacing w:before="12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Except as herein otherwise expressly provided, no adjustment in the Warrant Price shall be made by reason of the issuance of any securities of the Company or for any other reason whatsoever. </w:t>
      </w:r>
    </w:p>
    <w:p>
      <w:pPr>
        <w:pStyle w:val="TextBody"/>
        <w:bidi w:val="0"/>
        <w:spacing w:before="120" w:after="0"/>
        <w:jc w:val="left"/>
        <w:rPr>
          <w:rFonts w:ascii="Times New Roman" w:hAnsi="Times New Roman"/>
          <w:sz w:val="20"/>
        </w:rPr>
      </w:pPr>
      <w:r>
        <w:rPr>
          <w:rFonts w:ascii="Times New Roman" w:hAnsi="Times New Roman"/>
          <w:b/>
          <w:sz w:val="20"/>
        </w:rPr>
        <w:t xml:space="preserve">(f) </w:t>
      </w:r>
      <w:r>
        <w:rPr>
          <w:rFonts w:ascii="Times New Roman" w:hAnsi="Times New Roman"/>
          <w:sz w:val="20"/>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hAnsi="Times New Roman"/>
          <w:b/>
          <w:i/>
          <w:sz w:val="20"/>
        </w:rPr>
        <w:t>OTC Bulletin Board</w:t>
      </w:r>
      <w:r>
        <w:rPr>
          <w:rFonts w:ascii="Times New Roman" w:hAnsi="Times New Roman"/>
          <w:sz w:val="20"/>
        </w:rPr>
        <w:t>”) operated by the Financial Industry Regulatory Authority, Inc. (“</w:t>
      </w:r>
      <w:r>
        <w:rPr>
          <w:rFonts w:ascii="Times New Roman" w:hAnsi="Times New Roman"/>
          <w:b/>
          <w:i/>
          <w:sz w:val="20"/>
        </w:rPr>
        <w:t>FINRA</w:t>
      </w:r>
      <w:r>
        <w:rPr>
          <w:rFonts w:ascii="Times New Roman" w:hAnsi="Times New Roman"/>
          <w:sz w:val="20"/>
        </w:rPr>
        <w:t xml:space="preserve">”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 </w:t>
      </w:r>
    </w:p>
    <w:p>
      <w:pPr>
        <w:pStyle w:val="TextBody"/>
        <w:bidi w:val="0"/>
        <w:spacing w:before="12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 xml:space="preserve">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(h) </w:t>
      </w:r>
      <w:r>
        <w:rPr>
          <w:rFonts w:ascii="Times New Roman" w:hAnsi="Times New Roman"/>
          <w:sz w:val="20"/>
        </w:rPr>
        <w:t xml:space="preserve">Notwithstanding anything to the contrary herein, in no event shall the Warrant Price, as adjusted in accordance with the terms hereof, be less than the par value per share of [title of Preferred Stock purchasable through exercise of Warrants]. </w:t>
      </w:r>
    </w:p>
    <w:p>
      <w:pPr>
        <w:pStyle w:val="TextBody"/>
        <w:bidi w:val="0"/>
        <w:spacing w:before="120" w:after="0"/>
        <w:jc w:val="left"/>
        <w:rPr>
          <w:rFonts w:ascii="Times New Roman" w:hAnsi="Times New Roman"/>
          <w:sz w:val="20"/>
        </w:rPr>
      </w:pPr>
      <w:r>
        <w:rPr>
          <w:rFonts w:ascii="Times New Roman" w:hAnsi="Times New Roman"/>
          <w:b/>
          <w:sz w:val="20"/>
        </w:rPr>
        <w:t xml:space="preserve">3.5 Notice to Warrantholders. </w:t>
      </w:r>
      <w:r>
        <w:rPr>
          <w:rFonts w:ascii="Times New Roman" w:hAnsi="Times New Roman"/>
          <w:sz w:val="20"/>
        </w:rPr>
        <w:t xml:space="preserve">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 </w:t>
      </w:r>
    </w:p>
    <w:p>
      <w:pPr>
        <w:pStyle w:val="TextBody"/>
        <w:bidi w:val="0"/>
        <w:spacing w:before="120" w:after="0"/>
        <w:jc w:val="left"/>
        <w:rPr>
          <w:rFonts w:ascii="Times New Roman" w:hAnsi="Times New Roman"/>
          <w:sz w:val="20"/>
        </w:rPr>
      </w:pPr>
      <w:r>
        <w:rPr>
          <w:rFonts w:ascii="Times New Roman" w:hAnsi="Times New Roman"/>
          <w:b/>
          <w:sz w:val="20"/>
        </w:rPr>
        <w:t xml:space="preserve">3.6 </w:t>
      </w:r>
      <w:r>
        <w:rPr>
          <w:rFonts w:ascii="Times New Roman" w:hAnsi="Times New Roman"/>
          <w:sz w:val="20"/>
        </w:rPr>
        <w:t xml:space="preserve">[If the Warrants are Subject to Acceleration by the Company, Insert — Acceleration of Warrants by the Company.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At any time on or after [], the Company shall have the right to accelerate any or all Warrants at any time by causing them to expire at the close of business on the day next preceding a specified date (the “</w:t>
      </w:r>
      <w:r>
        <w:rPr>
          <w:rFonts w:ascii="Times New Roman" w:hAnsi="Times New Roman"/>
          <w:b/>
          <w:i/>
          <w:sz w:val="20"/>
        </w:rPr>
        <w:t>Acceleration Date</w:t>
      </w:r>
      <w:r>
        <w:rPr>
          <w:rFonts w:ascii="Times New Roman" w:hAnsi="Times New Roman"/>
          <w:sz w:val="20"/>
        </w:rPr>
        <w:t xml:space="preserve">”),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 </w:t>
      </w:r>
    </w:p>
    <w:p>
      <w:pPr>
        <w:pStyle w:val="TextBody"/>
        <w:bidi w:val="0"/>
        <w:spacing w:before="120" w:after="0"/>
        <w:jc w:val="left"/>
        <w:rPr>
          <w:rFonts w:ascii="Times New Roman" w:hAnsi="Times New Roman"/>
          <w:sz w:val="20"/>
        </w:rPr>
      </w:pPr>
      <w:r>
        <w:rPr>
          <w:rFonts w:ascii="Times New Roman" w:hAnsi="Times New Roman"/>
          <w:b/>
          <w:sz w:val="20"/>
        </w:rPr>
        <w:t xml:space="preserve">(b) (b) </w:t>
      </w:r>
      <w:r>
        <w:rPr>
          <w:rFonts w:ascii="Times New Roman" w:hAnsi="Times New Roman"/>
          <w:sz w:val="20"/>
        </w:rPr>
        <w:t>“</w:t>
      </w:r>
      <w:r>
        <w:rPr>
          <w:rFonts w:ascii="Times New Roman" w:hAnsi="Times New Roman"/>
          <w:b/>
          <w:i/>
          <w:sz w:val="20"/>
        </w:rPr>
        <w:t>Market Price</w:t>
      </w:r>
      <w:r>
        <w:rPr>
          <w:rFonts w:ascii="Times New Roman" w:hAnsi="Times New Roman"/>
          <w:sz w:val="20"/>
        </w:rPr>
        <w:t xml:space="preserve">”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 </w:t>
      </w:r>
    </w:p>
    <w:p>
      <w:pPr>
        <w:pStyle w:val="TextBody"/>
        <w:bidi w:val="0"/>
        <w:spacing w:before="12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Warrant accelerated may be exercised until [] p.m., [City] time, on the business day next preceding the Acceleration Date. The Warrant Price shall be payable as provided in Section 2.]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 xml:space="preserve">4.1 </w:t>
      </w:r>
      <w:r>
        <w:rPr>
          <w:rFonts w:ascii="Times New Roman" w:hAnsi="Times New Roman"/>
          <w:sz w:val="20"/>
        </w:rPr>
        <w:t xml:space="preserve">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120" w:after="0"/>
        <w:jc w:val="left"/>
        <w:rPr>
          <w:rFonts w:ascii="Times New Roman" w:hAnsi="Times New Roman"/>
          <w:sz w:val="20"/>
        </w:rPr>
      </w:pPr>
      <w:r>
        <w:rPr>
          <w:rFonts w:ascii="Times New Roman" w:hAnsi="Times New Roman"/>
          <w:b/>
          <w:sz w:val="20"/>
        </w:rPr>
        <w:t>4.2 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4.3 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 xml:space="preserve">5.1 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120" w:after="0"/>
        <w:jc w:val="left"/>
        <w:rPr>
          <w:rFonts w:ascii="Times New Roman" w:hAnsi="Times New Roman"/>
          <w:sz w:val="20"/>
        </w:rPr>
      </w:pPr>
      <w:r>
        <w:rPr>
          <w:rFonts w:ascii="Times New Roman" w:hAnsi="Times New Roman"/>
          <w:b/>
          <w:sz w:val="20"/>
        </w:rPr>
        <w:t>5.2 Conditions of Warrant Agent</w:t>
      </w:r>
      <w:r>
        <w:rPr>
          <w:rFonts w:ascii="Times New Roman" w:hAnsi="Times New Roman"/>
          <w:sz w:val="20"/>
        </w:rPr>
        <w:t>’</w:t>
      </w:r>
      <w:r>
        <w:rPr>
          <w:rFonts w:ascii="Times New Roman" w:hAnsi="Times New Roman"/>
          <w:b/>
          <w:sz w:val="20"/>
        </w:rPr>
        <w:t xml:space="preserve">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 xml:space="preserve">(a) 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120" w:after="0"/>
        <w:jc w:val="left"/>
        <w:rPr>
          <w:rFonts w:ascii="Times New Roman" w:hAnsi="Times New Roman"/>
          <w:sz w:val="20"/>
        </w:rPr>
      </w:pPr>
      <w:r>
        <w:rPr>
          <w:rFonts w:ascii="Times New Roman" w:hAnsi="Times New Roman"/>
          <w:b/>
          <w:sz w:val="20"/>
        </w:rPr>
        <w:t xml:space="preserve">(b) 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120" w:after="0"/>
        <w:jc w:val="left"/>
        <w:rPr>
          <w:rFonts w:ascii="Times New Roman" w:hAnsi="Times New Roman"/>
          <w:sz w:val="20"/>
        </w:rPr>
      </w:pPr>
      <w:r>
        <w:rPr>
          <w:rFonts w:ascii="Times New Roman" w:hAnsi="Times New Roman"/>
          <w:b/>
          <w:sz w:val="20"/>
        </w:rPr>
        <w:t xml:space="preserve">(c) 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120" w:after="0"/>
        <w:jc w:val="left"/>
        <w:rPr>
          <w:rFonts w:ascii="Times New Roman" w:hAnsi="Times New Roman"/>
          <w:sz w:val="20"/>
        </w:rPr>
      </w:pPr>
      <w:r>
        <w:rPr>
          <w:rFonts w:ascii="Times New Roman" w:hAnsi="Times New Roman"/>
          <w:b/>
          <w:sz w:val="20"/>
        </w:rPr>
        <w:t xml:space="preserve">(d) 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120" w:after="0"/>
        <w:jc w:val="left"/>
        <w:rPr>
          <w:rFonts w:ascii="Times New Roman" w:hAnsi="Times New Roman"/>
          <w:sz w:val="20"/>
        </w:rPr>
      </w:pPr>
      <w:r>
        <w:rPr>
          <w:rFonts w:ascii="Times New Roman" w:hAnsi="Times New Roman"/>
          <w:b/>
          <w:sz w:val="20"/>
        </w:rPr>
        <w:t xml:space="preserve">(e) 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(f) 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120" w:after="0"/>
        <w:jc w:val="left"/>
        <w:rPr>
          <w:rFonts w:ascii="Times New Roman" w:hAnsi="Times New Roman"/>
          <w:sz w:val="20"/>
        </w:rPr>
      </w:pPr>
      <w:r>
        <w:rPr>
          <w:rFonts w:ascii="Times New Roman" w:hAnsi="Times New Roman"/>
          <w:b/>
          <w:sz w:val="20"/>
        </w:rPr>
        <w:t xml:space="preserve">(g) 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120" w:after="0"/>
        <w:jc w:val="left"/>
        <w:rPr>
          <w:rFonts w:ascii="Times New Roman" w:hAnsi="Times New Roman"/>
          <w:sz w:val="20"/>
        </w:rPr>
      </w:pPr>
      <w:r>
        <w:rPr>
          <w:rFonts w:ascii="Times New Roman" w:hAnsi="Times New Roman"/>
          <w:b/>
          <w:sz w:val="20"/>
        </w:rPr>
        <w:t xml:space="preserve">(h) 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120" w:after="0"/>
        <w:jc w:val="left"/>
        <w:rPr>
          <w:rFonts w:ascii="Times New Roman" w:hAnsi="Times New Roman"/>
          <w:sz w:val="20"/>
        </w:rPr>
      </w:pPr>
      <w:r>
        <w:rPr>
          <w:rFonts w:ascii="Times New Roman" w:hAnsi="Times New Roman"/>
          <w:b/>
          <w:sz w:val="20"/>
        </w:rPr>
        <w:t xml:space="preserve">(i) 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12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12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12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12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 xml:space="preserve">6.1 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120" w:after="0"/>
        <w:jc w:val="left"/>
        <w:rPr>
          <w:rFonts w:ascii="Times New Roman" w:hAnsi="Times New Roman"/>
          <w:sz w:val="20"/>
        </w:rPr>
      </w:pPr>
      <w:r>
        <w:rPr>
          <w:rFonts w:ascii="Times New Roman" w:hAnsi="Times New Roman"/>
          <w:b/>
          <w:sz w:val="20"/>
        </w:rPr>
        <w:t xml:space="preserve">6.2 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6.3 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ImageneBio, Inc., 12526 High Bluff Drive, Suite 345, San Diego, CA 92130, Attention: [] (or such other address as shall be specified in writing by the Warrant Agent or by the Company). </w:t>
      </w:r>
    </w:p>
    <w:p>
      <w:pPr>
        <w:pStyle w:val="TextBody"/>
        <w:bidi w:val="0"/>
        <w:spacing w:before="120" w:after="0"/>
        <w:jc w:val="left"/>
        <w:rPr>
          <w:rFonts w:ascii="Times New Roman" w:hAnsi="Times New Roman"/>
          <w:sz w:val="20"/>
        </w:rPr>
      </w:pPr>
      <w:r>
        <w:rPr>
          <w:rFonts w:ascii="Times New Roman" w:hAnsi="Times New Roman"/>
          <w:b/>
          <w:sz w:val="20"/>
        </w:rPr>
        <w:t xml:space="preserve">6.4 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b/>
          <w:sz w:val="20"/>
        </w:rPr>
        <w:t xml:space="preserve">6.5 Delivery of Prospectus. </w:t>
      </w:r>
      <w:r>
        <w:rPr>
          <w:rFonts w:ascii="Times New Roman" w:hAnsi="Times New Roman"/>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 </w:t>
      </w:r>
    </w:p>
    <w:p>
      <w:pPr>
        <w:pStyle w:val="TextBody"/>
        <w:bidi w:val="0"/>
        <w:spacing w:before="120" w:after="0"/>
        <w:jc w:val="left"/>
        <w:rPr>
          <w:rFonts w:ascii="Times New Roman" w:hAnsi="Times New Roman"/>
          <w:sz w:val="20"/>
        </w:rPr>
      </w:pPr>
      <w:r>
        <w:rPr>
          <w:rFonts w:ascii="Times New Roman" w:hAnsi="Times New Roman"/>
          <w:b/>
          <w:sz w:val="20"/>
        </w:rPr>
        <w:t xml:space="preserve">6.6 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 </w:t>
      </w:r>
    </w:p>
    <w:p>
      <w:pPr>
        <w:pStyle w:val="TextBody"/>
        <w:bidi w:val="0"/>
        <w:spacing w:before="120" w:after="0"/>
        <w:jc w:val="left"/>
        <w:rPr>
          <w:rFonts w:ascii="Times New Roman" w:hAnsi="Times New Roman"/>
          <w:sz w:val="20"/>
        </w:rPr>
      </w:pPr>
      <w:r>
        <w:rPr>
          <w:rFonts w:ascii="Times New Roman" w:hAnsi="Times New Roman"/>
          <w:b/>
          <w:sz w:val="20"/>
        </w:rPr>
        <w:t xml:space="preserve">6.7 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b/>
          <w:sz w:val="20"/>
        </w:rPr>
        <w:t xml:space="preserve">6.8 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120" w:after="0"/>
        <w:jc w:val="left"/>
        <w:rPr>
          <w:rFonts w:ascii="Times New Roman" w:hAnsi="Times New Roman"/>
          <w:sz w:val="20"/>
        </w:rPr>
      </w:pPr>
      <w:r>
        <w:rPr>
          <w:rFonts w:ascii="Times New Roman" w:hAnsi="Times New Roman"/>
          <w:b/>
          <w:sz w:val="20"/>
        </w:rPr>
        <w:t xml:space="preserve">6.9 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120" w:after="0"/>
        <w:jc w:val="left"/>
        <w:rPr>
          <w:rFonts w:ascii="Times New Roman" w:hAnsi="Times New Roman"/>
          <w:sz w:val="20"/>
        </w:rPr>
      </w:pPr>
      <w:r>
        <w:rPr>
          <w:rFonts w:ascii="Times New Roman" w:hAnsi="Times New Roman"/>
          <w:b/>
          <w:sz w:val="20"/>
        </w:rPr>
        <w:t xml:space="preserve">6.10 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21"/>
        <w:gridCol w:w="82"/>
        <w:gridCol w:w="2379"/>
      </w:tblGrid>
      <w:tr>
        <w:trPr/>
        <w:tc>
          <w:tcPr>
            <w:tcW w:w="162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ImageneBio, Inc., as Company</w:t>
            </w:r>
          </w:p>
        </w:tc>
      </w:tr>
      <w:tr>
        <w:trPr>
          <w:trHeight w:val="240" w:hRule="atLeast"/>
        </w:trPr>
        <w:tc>
          <w:tcPr>
            <w:tcW w:w="1621" w:type="dxa"/>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r>
      <w:tr>
        <w:trPr/>
        <w:tc>
          <w:tcPr>
            <w:tcW w:w="162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c>
          <w:tcPr>
            <w:tcW w:w="1621"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c>
          <w:tcPr>
            <w:tcW w:w="1621"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rHeight w:val="240" w:hRule="atLeast"/>
        </w:trPr>
        <w:tc>
          <w:tcPr>
            <w:tcW w:w="1621" w:type="dxa"/>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r>
      <w:tr>
        <w:trPr/>
        <w:tc>
          <w:tcPr>
            <w:tcW w:w="1621" w:type="dxa"/>
            <w:tcBorders/>
          </w:tcPr>
          <w:p>
            <w:pPr>
              <w:pStyle w:val="TableContents"/>
              <w:bidi w:val="0"/>
              <w:spacing w:before="0" w:after="283"/>
              <w:jc w:val="left"/>
              <w:rPr>
                <w:b/>
              </w:rPr>
            </w:pPr>
            <w:r>
              <w:rPr>
                <w:b/>
              </w:rPr>
              <w:t>A</w:t>
            </w:r>
            <w:r>
              <w:rPr>
                <w:b/>
                <w:sz w:val="20"/>
              </w:rPr>
              <w:t>TTEST</w:t>
            </w:r>
            <w:r>
              <w:rPr>
                <w:b/>
              </w:rPr>
              <w:t>:</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c>
          <w:tcPr>
            <w:tcW w:w="162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1621" w:type="dxa"/>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r>
      <w:tr>
        <w:trPr/>
        <w:tc>
          <w:tcPr>
            <w:tcW w:w="1621"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c>
          <w:tcPr>
            <w:tcW w:w="1621" w:type="dxa"/>
            <w:tcBorders/>
          </w:tcPr>
          <w:p>
            <w:pPr>
              <w:pStyle w:val="TableContents"/>
              <w:bidi w:val="0"/>
              <w:spacing w:before="0" w:after="283"/>
              <w:jc w:val="left"/>
              <w:rPr/>
            </w:pPr>
            <w:r>
              <w:rPr/>
              <w:t>Name:</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c>
          <w:tcPr>
            <w:tcW w:w="1621" w:type="dxa"/>
            <w:tcBorders/>
          </w:tcPr>
          <w:p>
            <w:pPr>
              <w:pStyle w:val="TableContents"/>
              <w:bidi w:val="0"/>
              <w:spacing w:before="0" w:after="283"/>
              <w:jc w:val="left"/>
              <w:rPr/>
            </w:pPr>
            <w:r>
              <w:rPr/>
              <w:t>Title:</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rHeight w:val="240" w:hRule="atLeast"/>
        </w:trPr>
        <w:tc>
          <w:tcPr>
            <w:tcW w:w="1621" w:type="dxa"/>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r>
      <w:tr>
        <w:trPr/>
        <w:tc>
          <w:tcPr>
            <w:tcW w:w="1621" w:type="dxa"/>
            <w:tcBorders/>
          </w:tcPr>
          <w:p>
            <w:pPr>
              <w:pStyle w:val="TableContents"/>
              <w:bidi w:val="0"/>
              <w:spacing w:before="0" w:after="283"/>
              <w:jc w:val="left"/>
              <w:rPr>
                <w:b/>
              </w:rPr>
            </w:pPr>
            <w:r>
              <w:rPr>
                <w:b/>
              </w:rPr>
              <w:t>A</w:t>
            </w:r>
            <w:r>
              <w:rPr>
                <w:b/>
                <w:sz w:val="20"/>
              </w:rPr>
              <w:t>TTEST</w:t>
            </w:r>
            <w:r>
              <w:rPr>
                <w:b/>
              </w:rPr>
              <w:t>:</w:t>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r>
        <w:trPr/>
        <w:tc>
          <w:tcPr>
            <w:tcW w:w="1621"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2379"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IMAGENEBIO, INC. PREFERRED STOCK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Times New Roman" w:hAnsi="Times New Roman"/>
          <w:b/>
          <w:i/>
          <w:sz w:val="20"/>
        </w:rPr>
        <w:t>Warrant Securities</w:t>
      </w:r>
      <w:r>
        <w:rPr>
          <w:rFonts w:ascii="Times New Roman" w:hAnsi="Times New Roman"/>
          <w:sz w:val="20"/>
        </w:rPr>
        <w:t>”), of ImageneBio, Inc. (the “</w:t>
      </w:r>
      <w:r>
        <w:rPr>
          <w:rFonts w:ascii="Times New Roman" w:hAnsi="Times New Roman"/>
          <w:b/>
          <w:i/>
          <w:sz w:val="20"/>
        </w:rPr>
        <w:t>Company</w:t>
      </w:r>
      <w:r>
        <w:rPr>
          <w:rFonts w:ascii="Times New Roman" w:hAnsi="Times New Roman"/>
          <w:sz w:val="20"/>
        </w:rPr>
        <w:t>”) on the following basis: during the period from [], through and including [], the exercise price per Warrant Security will be $[], subject to adjustment as provided in the Warrant Agreement (as hereinafter defined) (the “</w:t>
      </w:r>
      <w:r>
        <w:rPr>
          <w:rFonts w:ascii="Times New Roman" w:hAnsi="Times New Roman"/>
          <w:b/>
          <w:i/>
          <w:sz w:val="20"/>
        </w:rPr>
        <w:t>Warrant Price</w:t>
      </w:r>
      <w:r>
        <w:rPr>
          <w:rFonts w:ascii="Times New Roman" w:hAnsi="Times New Roman"/>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1"/>
        <w:gridCol w:w="112"/>
        <w:gridCol w:w="9192"/>
      </w:tblGrid>
      <w:tr>
        <w:trPr/>
        <w:tc>
          <w:tcPr>
            <w:tcW w:w="901"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9192" w:type="dxa"/>
            <w:tcBorders/>
            <w:vAlign w:val="center"/>
          </w:tcPr>
          <w:p>
            <w:pPr>
              <w:pStyle w:val="TableContents"/>
              <w:bidi w:val="0"/>
              <w:spacing w:before="0" w:after="283"/>
              <w:jc w:val="left"/>
              <w:rPr>
                <w:sz w:val="4"/>
                <w:szCs w:val="4"/>
              </w:rPr>
            </w:pPr>
            <w:r>
              <w:rPr>
                <w:sz w:val="4"/>
                <w:szCs w:val="4"/>
              </w:rPr>
            </w:r>
          </w:p>
        </w:tc>
      </w:tr>
      <w:tr>
        <w:trPr/>
        <w:tc>
          <w:tcPr>
            <w:tcW w:w="901" w:type="dxa"/>
            <w:tcBorders/>
          </w:tcPr>
          <w:p>
            <w:pPr>
              <w:pStyle w:val="TableContents"/>
              <w:bidi w:val="0"/>
              <w:spacing w:before="0" w:after="283"/>
              <w:jc w:val="left"/>
              <w:rPr/>
            </w:pPr>
            <w:r>
              <w:rPr/>
              <w:t>Dated: </w:t>
            </w:r>
          </w:p>
        </w:tc>
        <w:tc>
          <w:tcPr>
            <w:tcW w:w="112" w:type="dxa"/>
            <w:tcBorders/>
            <w:vAlign w:val="bottom"/>
          </w:tcPr>
          <w:p>
            <w:pPr>
              <w:pStyle w:val="TableContents"/>
              <w:bidi w:val="0"/>
              <w:spacing w:before="0" w:after="283"/>
              <w:jc w:val="left"/>
              <w:rPr/>
            </w:pPr>
            <w:r>
              <w:rPr/>
              <w:t> </w:t>
            </w:r>
          </w:p>
        </w:tc>
        <w:tc>
          <w:tcPr>
            <w:tcW w:w="9192" w:type="dxa"/>
            <w:tcBorders/>
          </w:tcPr>
          <w:p>
            <w:pPr>
              <w:pStyle w:val="TableContents"/>
              <w:bidi w:val="0"/>
              <w:spacing w:before="0" w:after="283"/>
              <w:jc w:val="left"/>
              <w:rPr>
                <w:u w:val="single"/>
              </w:rPr>
            </w:pPr>
            <w:r>
              <w:rPr>
                <w:u w:val="single"/>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b/>
              </w:rPr>
              <w:t>ImageneBio, Inc.</w:t>
            </w:r>
            <w:r>
              <w:rPr/>
              <w:t>, as Company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8"/>
        <w:gridCol w:w="132"/>
        <w:gridCol w:w="3870"/>
        <w:gridCol w:w="132"/>
        <w:gridCol w:w="3863"/>
      </w:tblGrid>
      <w:tr>
        <w:trPr/>
        <w:tc>
          <w:tcPr>
            <w:tcW w:w="220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Title:</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rHeight w:val="240" w:hRule="atLeast"/>
        </w:trPr>
        <w:tc>
          <w:tcPr>
            <w:tcW w:w="2208" w:type="dxa"/>
            <w:tcBorders/>
            <w:vAlign w:val="center"/>
          </w:tcPr>
          <w:p>
            <w:pPr>
              <w:pStyle w:val="TableContents"/>
              <w:bidi w:val="0"/>
              <w:spacing w:before="0" w:after="283"/>
              <w:jc w:val="left"/>
              <w:rPr>
                <w:sz w:val="4"/>
                <w:szCs w:val="4"/>
              </w:rPr>
            </w:pPr>
            <w:r>
              <w:rPr>
                <w:sz w:val="4"/>
                <w:szCs w:val="4"/>
              </w:rPr>
            </w:r>
          </w:p>
        </w:tc>
        <w:tc>
          <w:tcPr>
            <w:tcW w:w="4002" w:type="dxa"/>
            <w:gridSpan w:val="2"/>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b/>
              </w:rPr>
            </w:pPr>
            <w:r>
              <w:rPr>
                <w:b/>
              </w:rPr>
              <w:t>ATTEST:</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rHeight w:val="240" w:hRule="atLeast"/>
        </w:trPr>
        <w:tc>
          <w:tcPr>
            <w:tcW w:w="2208" w:type="dxa"/>
            <w:tcBorders/>
            <w:vAlign w:val="center"/>
          </w:tcPr>
          <w:p>
            <w:pPr>
              <w:pStyle w:val="TableContents"/>
              <w:bidi w:val="0"/>
              <w:spacing w:before="0" w:after="283"/>
              <w:jc w:val="left"/>
              <w:rPr>
                <w:sz w:val="4"/>
                <w:szCs w:val="4"/>
              </w:rPr>
            </w:pPr>
            <w:r>
              <w:rPr>
                <w:sz w:val="4"/>
                <w:szCs w:val="4"/>
              </w:rPr>
            </w:r>
          </w:p>
        </w:tc>
        <w:tc>
          <w:tcPr>
            <w:tcW w:w="4002" w:type="dxa"/>
            <w:gridSpan w:val="2"/>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b/>
              </w:rPr>
            </w:pPr>
            <w:r>
              <w:rPr>
                <w:b/>
              </w:rPr>
              <w:t>COUNTERSIGNED</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rHeight w:val="240" w:hRule="atLeast"/>
        </w:trPr>
        <w:tc>
          <w:tcPr>
            <w:tcW w:w="2208" w:type="dxa"/>
            <w:tcBorders/>
            <w:vAlign w:val="center"/>
          </w:tcPr>
          <w:p>
            <w:pPr>
              <w:pStyle w:val="TableContents"/>
              <w:bidi w:val="0"/>
              <w:spacing w:before="0" w:after="283"/>
              <w:jc w:val="left"/>
              <w:rPr>
                <w:sz w:val="4"/>
                <w:szCs w:val="4"/>
              </w:rPr>
            </w:pPr>
            <w:r>
              <w:rPr>
                <w:sz w:val="4"/>
                <w:szCs w:val="4"/>
              </w:rPr>
            </w:r>
          </w:p>
        </w:tc>
        <w:tc>
          <w:tcPr>
            <w:tcW w:w="4002" w:type="dxa"/>
            <w:gridSpan w:val="2"/>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b/>
              </w:rPr>
              <w:t>[]</w:t>
            </w:r>
            <w:r>
              <w:rPr/>
              <w:t>, as Warrant Agent</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pPr>
            <w:r>
              <w:rPr/>
              <w:t>Title:</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rHeight w:val="240" w:hRule="atLeast"/>
        </w:trPr>
        <w:tc>
          <w:tcPr>
            <w:tcW w:w="2208" w:type="dxa"/>
            <w:tcBorders/>
            <w:vAlign w:val="center"/>
          </w:tcPr>
          <w:p>
            <w:pPr>
              <w:pStyle w:val="TableContents"/>
              <w:bidi w:val="0"/>
              <w:spacing w:before="0" w:after="283"/>
              <w:jc w:val="left"/>
              <w:rPr>
                <w:sz w:val="4"/>
                <w:szCs w:val="4"/>
              </w:rPr>
            </w:pPr>
            <w:r>
              <w:rPr>
                <w:sz w:val="4"/>
                <w:szCs w:val="4"/>
              </w:rPr>
            </w:r>
          </w:p>
        </w:tc>
        <w:tc>
          <w:tcPr>
            <w:tcW w:w="4002" w:type="dxa"/>
            <w:gridSpan w:val="2"/>
            <w:tcBorders/>
            <w:vAlign w:val="center"/>
          </w:tcPr>
          <w:p>
            <w:pPr>
              <w:pStyle w:val="TableContents"/>
              <w:bidi w:val="0"/>
              <w:spacing w:before="0" w:after="283"/>
              <w:jc w:val="left"/>
              <w:rPr>
                <w:sz w:val="4"/>
                <w:szCs w:val="4"/>
              </w:rPr>
            </w:pPr>
            <w:r>
              <w:rPr>
                <w:sz w:val="4"/>
                <w:szCs w:val="4"/>
              </w:rPr>
            </w:r>
          </w:p>
        </w:tc>
        <w:tc>
          <w:tcPr>
            <w:tcW w:w="3995" w:type="dxa"/>
            <w:gridSpan w:val="2"/>
            <w:tcBorders/>
            <w:vAlign w:val="center"/>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b/>
              </w:rPr>
            </w:pPr>
            <w:r>
              <w:rPr>
                <w:b/>
              </w:rPr>
              <w:t>ATTEST:</w:t>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r>
        <w:trPr/>
        <w:tc>
          <w:tcPr>
            <w:tcW w:w="2208" w:type="dxa"/>
            <w:tcBorders/>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3870" w:type="dxa"/>
            <w:tcBorders/>
          </w:tcPr>
          <w:p>
            <w:pPr>
              <w:pStyle w:val="TableContents"/>
              <w:pBdr>
                <w:bottom w:val="single" w:sz="2" w:space="1" w:color="000000"/>
              </w:pBdr>
              <w:bidi w:val="0"/>
              <w:spacing w:before="0" w:after="20"/>
              <w:jc w:val="left"/>
              <w:rPr/>
            </w:pPr>
            <w:r>
              <w:rPr/>
              <w:t> </w:t>
            </w:r>
          </w:p>
        </w:tc>
        <w:tc>
          <w:tcPr>
            <w:tcW w:w="132" w:type="dxa"/>
            <w:tcBorders/>
            <w:vAlign w:val="bottom"/>
          </w:tcPr>
          <w:p>
            <w:pPr>
              <w:pStyle w:val="TableContents"/>
              <w:bidi w:val="0"/>
              <w:spacing w:before="0" w:after="283"/>
              <w:jc w:val="left"/>
              <w:rPr/>
            </w:pPr>
            <w:r>
              <w:rPr/>
              <w:t>  </w:t>
            </w:r>
          </w:p>
        </w:tc>
        <w:tc>
          <w:tcPr>
            <w:tcW w:w="3863"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shares of the [TITLE OF WARRANT SECURITIES], par value $0.001 per share (the “</w:t>
      </w:r>
      <w:r>
        <w:rPr>
          <w:rFonts w:ascii="Times New Roman" w:hAnsi="Times New Roman"/>
          <w:b/>
          <w:i/>
          <w:sz w:val="20"/>
        </w:rPr>
        <w:t>Warrant Securities</w:t>
      </w:r>
      <w:r>
        <w:rPr>
          <w:rFonts w:ascii="Times New Roman" w:hAnsi="Times New Roman"/>
          <w:sz w:val="20"/>
        </w:rPr>
        <w:t xml:space="preserve">”), of ImageneBio,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ImageneBio,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
        <w:gridCol w:w="122"/>
        <w:gridCol w:w="3865"/>
        <w:gridCol w:w="122"/>
        <w:gridCol w:w="634"/>
        <w:gridCol w:w="122"/>
        <w:gridCol w:w="612"/>
        <w:gridCol w:w="122"/>
        <w:gridCol w:w="3995"/>
      </w:tblGrid>
      <w:tr>
        <w:trPr/>
        <w:tc>
          <w:tcPr>
            <w:tcW w:w="6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611" w:type="dxa"/>
            <w:tcBorders/>
          </w:tcPr>
          <w:p>
            <w:pPr>
              <w:pStyle w:val="TableContents"/>
              <w:bidi w:val="0"/>
              <w:spacing w:before="0" w:after="283"/>
              <w:jc w:val="left"/>
              <w:rPr/>
            </w:pPr>
            <w:r>
              <w:rPr/>
              <w:t>Dated:</w:t>
            </w:r>
          </w:p>
        </w:tc>
        <w:tc>
          <w:tcPr>
            <w:tcW w:w="122" w:type="dxa"/>
            <w:tcBorders/>
            <w:vAlign w:val="bottom"/>
          </w:tcPr>
          <w:p>
            <w:pPr>
              <w:pStyle w:val="TableContents"/>
              <w:bidi w:val="0"/>
              <w:spacing w:before="0" w:after="283"/>
              <w:jc w:val="left"/>
              <w:rPr/>
            </w:pPr>
            <w:r>
              <w:rPr/>
              <w:t>  </w:t>
            </w:r>
          </w:p>
        </w:tc>
        <w:tc>
          <w:tcPr>
            <w:tcW w:w="3865" w:type="dxa"/>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Name:</w:t>
            </w:r>
          </w:p>
        </w:tc>
        <w:tc>
          <w:tcPr>
            <w:tcW w:w="122" w:type="dxa"/>
            <w:tcBorders/>
            <w:vAlign w:val="bottom"/>
          </w:tcPr>
          <w:p>
            <w:pPr>
              <w:pStyle w:val="TableContents"/>
              <w:bidi w:val="0"/>
              <w:spacing w:before="0" w:after="283"/>
              <w:jc w:val="left"/>
              <w:rPr/>
            </w:pPr>
            <w:r>
              <w:rPr/>
              <w:t>  </w:t>
            </w:r>
          </w:p>
        </w:tc>
        <w:tc>
          <w:tcPr>
            <w:tcW w:w="3995" w:type="dxa"/>
            <w:tcBorders/>
          </w:tcPr>
          <w:p>
            <w:pPr>
              <w:pStyle w:val="TableContents"/>
              <w:pBdr>
                <w:bottom w:val="single" w:sz="2" w:space="1" w:color="000000"/>
              </w:pBdr>
              <w:bidi w:val="0"/>
              <w:spacing w:before="0" w:after="20"/>
              <w:jc w:val="left"/>
              <w:rPr/>
            </w:pPr>
            <w:r>
              <w:rPr/>
              <w:t> </w:t>
            </w:r>
          </w:p>
        </w:tc>
      </w:tr>
      <w:tr>
        <w:trPr/>
        <w:tc>
          <w:tcPr>
            <w:tcW w:w="61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86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3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995" w:type="dxa"/>
            <w:tcBorders/>
          </w:tcPr>
          <w:p>
            <w:pPr>
              <w:pStyle w:val="TableContents"/>
              <w:bidi w:val="0"/>
              <w:spacing w:before="0" w:after="283"/>
              <w:jc w:val="center"/>
              <w:rPr/>
            </w:pPr>
            <w:r>
              <w:rPr/>
              <w:t>Please Print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(Insert Social Security or Other Identifying Number of Holder)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80"/>
        <w:gridCol w:w="60"/>
        <w:gridCol w:w="1742"/>
      </w:tblGrid>
      <w:tr>
        <w:trPr/>
        <w:tc>
          <w:tcPr>
            <w:tcW w:w="2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2280" w:type="dxa"/>
            <w:tcBorders/>
          </w:tcPr>
          <w:p>
            <w:pPr>
              <w:pStyle w:val="TableContents"/>
              <w:bidi w:val="0"/>
              <w:spacing w:before="0" w:after="283"/>
              <w:jc w:val="left"/>
              <w:rPr/>
            </w:pPr>
            <w:r>
              <w:rPr/>
              <w:t>Signature Guaranteed:</w:t>
            </w:r>
          </w:p>
        </w:tc>
        <w:tc>
          <w:tcPr>
            <w:tcW w:w="60" w:type="dxa"/>
            <w:tcBorders/>
            <w:vAlign w:val="bottom"/>
          </w:tcPr>
          <w:p>
            <w:pPr>
              <w:pStyle w:val="TableContents"/>
              <w:bidi w:val="0"/>
              <w:spacing w:before="0" w:after="283"/>
              <w:jc w:val="left"/>
              <w:rPr/>
            </w:pPr>
            <w:r>
              <w:rPr/>
              <w:t> </w:t>
            </w:r>
          </w:p>
        </w:tc>
        <w:tc>
          <w:tcPr>
            <w:tcW w:w="1742" w:type="dxa"/>
            <w:tcBorders/>
          </w:tcPr>
          <w:p>
            <w:pPr>
              <w:pStyle w:val="TableContents"/>
              <w:pBdr>
                <w:bottom w:val="single" w:sz="2" w:space="1" w:color="000000"/>
              </w:pBdr>
              <w:bidi w:val="0"/>
              <w:spacing w:before="0" w:after="20"/>
              <w:jc w:val="left"/>
              <w:rPr/>
            </w:pPr>
            <w:r>
              <w:rPr/>
              <w:t> </w:t>
            </w:r>
          </w:p>
        </w:tc>
      </w:tr>
      <w:tr>
        <w:trPr/>
        <w:tc>
          <w:tcPr>
            <w:tcW w:w="22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42"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p>
    <w:p>
      <w:pPr>
        <w:pStyle w:val="TextBody"/>
        <w:bidi w:val="0"/>
        <w:spacing w:before="24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24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mail at: </w:t>
      </w:r>
    </w:p>
    <w:p>
      <w:pPr>
        <w:pStyle w:val="TextBody"/>
        <w:bidi w:val="0"/>
        <w:spacing w:before="240" w:after="0"/>
        <w:jc w:val="left"/>
        <w:rPr>
          <w:rFonts w:ascii="Times New Roman" w:hAnsi="Times New Roman"/>
          <w:sz w:val="20"/>
        </w:rPr>
      </w:pPr>
      <w:r>
        <w:rPr>
          <w:rFonts w:ascii="Times New Roman" w:hAnsi="Times New Roman"/>
          <w:sz w:val="20"/>
        </w:rPr>
        <w:t xml:space="preserve">[Instructions as to form and delivery of Warrant Securities and, if applicable, Warrant Certificates evidencing Warrants for the number of Warrant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55"/>
        <w:gridCol w:w="109"/>
        <w:gridCol w:w="734"/>
        <w:gridCol w:w="120"/>
        <w:gridCol w:w="4587"/>
      </w:tblGrid>
      <w:tr>
        <w:trPr/>
        <w:tc>
          <w:tcPr>
            <w:tcW w:w="46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87" w:type="dxa"/>
            <w:tcBorders/>
            <w:vAlign w:val="center"/>
          </w:tcPr>
          <w:p>
            <w:pPr>
              <w:pStyle w:val="TableContents"/>
              <w:bidi w:val="0"/>
              <w:spacing w:before="0" w:after="283"/>
              <w:jc w:val="left"/>
              <w:rPr>
                <w:sz w:val="4"/>
                <w:szCs w:val="4"/>
              </w:rPr>
            </w:pPr>
            <w:r>
              <w:rPr>
                <w:sz w:val="4"/>
                <w:szCs w:val="4"/>
              </w:rPr>
            </w:r>
          </w:p>
        </w:tc>
      </w:tr>
      <w:tr>
        <w:trPr/>
        <w:tc>
          <w:tcPr>
            <w:tcW w:w="465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(Please print name and address including zip code)</w:t>
            </w:r>
          </w:p>
        </w:tc>
        <w:tc>
          <w:tcPr>
            <w:tcW w:w="109" w:type="dxa"/>
            <w:tcBorders/>
            <w:vAlign w:val="bottom"/>
          </w:tcPr>
          <w:p>
            <w:pPr>
              <w:pStyle w:val="TableContents"/>
              <w:bidi w:val="0"/>
              <w:spacing w:before="0" w:after="283"/>
              <w:jc w:val="left"/>
              <w:rPr/>
            </w:pPr>
            <w:r>
              <w:rPr/>
              <w:t> </w:t>
            </w:r>
          </w:p>
        </w:tc>
        <w:tc>
          <w:tcPr>
            <w:tcW w:w="734"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87"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__________ shares of [Title of Warrant Securities] of ImageneBio,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0"/>
        <w:gridCol w:w="107"/>
        <w:gridCol w:w="3967"/>
        <w:gridCol w:w="107"/>
        <w:gridCol w:w="631"/>
        <w:gridCol w:w="120"/>
        <w:gridCol w:w="601"/>
        <w:gridCol w:w="120"/>
        <w:gridCol w:w="3952"/>
      </w:tblGrid>
      <w:tr>
        <w:trPr/>
        <w:tc>
          <w:tcPr>
            <w:tcW w:w="60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600" w:type="dxa"/>
            <w:tcBorders/>
          </w:tcPr>
          <w:p>
            <w:pPr>
              <w:pStyle w:val="TableContents"/>
              <w:bidi w:val="0"/>
              <w:spacing w:before="0" w:after="283"/>
              <w:jc w:val="left"/>
              <w:rPr/>
            </w:pPr>
            <w:r>
              <w:rPr/>
              <w:t>Dated:</w:t>
            </w:r>
          </w:p>
        </w:tc>
        <w:tc>
          <w:tcPr>
            <w:tcW w:w="107" w:type="dxa"/>
            <w:tcBorders/>
            <w:vAlign w:val="bottom"/>
          </w:tcPr>
          <w:p>
            <w:pPr>
              <w:pStyle w:val="TableContents"/>
              <w:bidi w:val="0"/>
              <w:spacing w:before="0" w:after="283"/>
              <w:jc w:val="left"/>
              <w:rPr/>
            </w:pPr>
            <w:r>
              <w:rPr/>
              <w:t> </w:t>
            </w:r>
          </w:p>
        </w:tc>
        <w:tc>
          <w:tcPr>
            <w:tcW w:w="3967" w:type="dxa"/>
            <w:tcBorders/>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1"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3952" w:type="dxa"/>
            <w:tcBorders/>
          </w:tcPr>
          <w:p>
            <w:pPr>
              <w:pStyle w:val="TableContents"/>
              <w:pBdr>
                <w:bottom w:val="single" w:sz="2" w:space="1" w:color="000000"/>
              </w:pBdr>
              <w:bidi w:val="0"/>
              <w:spacing w:before="0" w:after="20"/>
              <w:jc w:val="left"/>
              <w:rPr/>
            </w:pPr>
            <w:r>
              <w:rPr/>
              <w:t> </w:t>
            </w:r>
          </w:p>
        </w:tc>
      </w:tr>
      <w:tr>
        <w:trPr/>
        <w:tc>
          <w:tcPr>
            <w:tcW w:w="60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6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3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952"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Guaranteed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35" w:name="d150354dex411.htm"/>
      <w:bookmarkStart w:id="36" w:name="ksd150354dex411"/>
      <w:bookmarkEnd w:id="35"/>
      <w:bookmarkEnd w:id="36"/>
      <w:r>
        <w:rPr>
          <w:rFonts w:ascii="Times New Roman" w:hAnsi="Times New Roman"/>
          <w:b/>
          <w:sz w:val="20"/>
        </w:rPr>
        <w:t xml:space="preserve">Exhibit 4.11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AS WARRANT AGENT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WARRANT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__________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FORM OF DEBT SECURITIES WARRANT AGREEMENT </w:t>
      </w:r>
    </w:p>
    <w:p>
      <w:pPr>
        <w:pStyle w:val="TextBody"/>
        <w:bidi w:val="0"/>
        <w:spacing w:before="240" w:after="0"/>
        <w:jc w:val="left"/>
        <w:rPr>
          <w:rFonts w:ascii="Times New Roman" w:hAnsi="Times New Roman"/>
          <w:sz w:val="20"/>
        </w:rPr>
      </w:pPr>
      <w:r>
        <w:rPr>
          <w:rFonts w:ascii="Times New Roman" w:hAnsi="Times New Roman"/>
          <w:b/>
          <w:sz w:val="20"/>
        </w:rPr>
        <w:t>THIS DEBT SECURITIES WARRANT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 xml:space="preserve">”), dated as of [], between </w:t>
      </w:r>
      <w:r>
        <w:rPr>
          <w:rFonts w:ascii="Times New Roman" w:hAnsi="Times New Roman"/>
          <w:b/>
          <w:sz w:val="20"/>
        </w:rPr>
        <w:t>IMAGENEBIO,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 a [corporation] [national banking association] organized and existing under the laws of [] and having a corporate trust office in [], as warrant agent (the “</w:t>
      </w:r>
      <w:r>
        <w:rPr>
          <w:rFonts w:ascii="Times New Roman" w:hAnsi="Times New Roman"/>
          <w:b/>
          <w:i/>
          <w:sz w:val="20"/>
        </w:rPr>
        <w:t>Warrant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has entered into an indenture dated as of [●] (the “</w:t>
      </w:r>
      <w:r>
        <w:rPr>
          <w:rFonts w:ascii="Times New Roman" w:hAnsi="Times New Roman"/>
          <w:b/>
          <w:i/>
          <w:sz w:val="20"/>
        </w:rPr>
        <w:t>Indenture</w:t>
      </w:r>
      <w:r>
        <w:rPr>
          <w:rFonts w:ascii="Times New Roman" w:hAnsi="Times New Roman"/>
          <w:sz w:val="20"/>
        </w:rPr>
        <w:t>”), with [●], as trustee (such trustee, and any successors to such trustee, herein called the “</w:t>
      </w:r>
      <w:r>
        <w:rPr>
          <w:rFonts w:ascii="Times New Roman" w:hAnsi="Times New Roman"/>
          <w:b/>
          <w:i/>
          <w:sz w:val="20"/>
        </w:rPr>
        <w:t>Trustee</w:t>
      </w:r>
      <w:r>
        <w:rPr>
          <w:rFonts w:ascii="Times New Roman" w:hAnsi="Times New Roman"/>
          <w:sz w:val="20"/>
        </w:rPr>
        <w:t>”), providing for the issuance from time to time of its debt securities, to be issued in one or more series as provided in the Indenture (the “</w:t>
      </w:r>
      <w:r>
        <w:rPr>
          <w:rFonts w:ascii="Times New Roman" w:hAnsi="Times New Roman"/>
          <w:b/>
          <w:i/>
          <w:sz w:val="20"/>
        </w:rPr>
        <w:t>Debt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proposes to sell [</w:t>
      </w:r>
      <w:r>
        <w:rPr>
          <w:rFonts w:ascii="Times New Roman" w:hAnsi="Times New Roman"/>
          <w:b/>
          <w:i/>
          <w:sz w:val="20"/>
        </w:rPr>
        <w:t xml:space="preserve">If Warrants are sold with other securities </w:t>
      </w:r>
      <w:r>
        <w:rPr>
          <w:rFonts w:ascii="Times New Roman" w:hAnsi="Times New Roman"/>
          <w:sz w:val="20"/>
        </w:rPr>
        <w:t>—[title of such other securities being offered] (the “</w:t>
      </w:r>
      <w:r>
        <w:rPr>
          <w:rFonts w:ascii="Times New Roman" w:hAnsi="Times New Roman"/>
          <w:b/>
          <w:i/>
          <w:sz w:val="20"/>
        </w:rPr>
        <w:t>Other Securities</w:t>
      </w:r>
      <w:r>
        <w:rPr>
          <w:rFonts w:ascii="Times New Roman" w:hAnsi="Times New Roman"/>
          <w:sz w:val="20"/>
        </w:rPr>
        <w:t>”) with] warrant certificates evidencing one or more warrants (the “</w:t>
      </w:r>
      <w:r>
        <w:rPr>
          <w:rFonts w:ascii="Times New Roman" w:hAnsi="Times New Roman"/>
          <w:b/>
          <w:i/>
          <w:sz w:val="20"/>
        </w:rPr>
        <w:t>Warrants</w:t>
      </w:r>
      <w:r>
        <w:rPr>
          <w:rFonts w:ascii="Times New Roman" w:hAnsi="Times New Roman"/>
          <w:sz w:val="20"/>
        </w:rPr>
        <w:t>” or, individually, a “</w:t>
      </w:r>
      <w:r>
        <w:rPr>
          <w:rFonts w:ascii="Times New Roman" w:hAnsi="Times New Roman"/>
          <w:b/>
          <w:i/>
          <w:sz w:val="20"/>
        </w:rPr>
        <w:t>Warrant</w:t>
      </w:r>
      <w:r>
        <w:rPr>
          <w:rFonts w:ascii="Times New Roman" w:hAnsi="Times New Roman"/>
          <w:sz w:val="20"/>
        </w:rPr>
        <w:t>”) representing the right to purchase [title of Debt Securities purchasable through exercise of Warrants] (the “</w:t>
      </w:r>
      <w:r>
        <w:rPr>
          <w:rFonts w:ascii="Times New Roman" w:hAnsi="Times New Roman"/>
          <w:b/>
          <w:i/>
          <w:sz w:val="20"/>
        </w:rPr>
        <w:t>Warrant Debt Securities</w:t>
      </w:r>
      <w:r>
        <w:rPr>
          <w:rFonts w:ascii="Times New Roman" w:hAnsi="Times New Roman"/>
          <w:sz w:val="20"/>
        </w:rPr>
        <w:t>”), such warrant certificates and other warrant certificates issued pursuant to this Agreement being herein called the “</w:t>
      </w:r>
      <w:r>
        <w:rPr>
          <w:rFonts w:ascii="Times New Roman" w:hAnsi="Times New Roman"/>
          <w:b/>
          <w:i/>
          <w:sz w:val="20"/>
        </w:rPr>
        <w:t>Warrant Certificates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of the mutual agreements herein contained,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ISSUANCE OF WARRANTS AND EXECUTION AND </w:t>
      </w:r>
    </w:p>
    <w:p>
      <w:pPr>
        <w:pStyle w:val="TextBody"/>
        <w:bidi w:val="0"/>
        <w:spacing w:before="0" w:after="0"/>
        <w:jc w:val="center"/>
        <w:rPr>
          <w:rFonts w:ascii="Times New Roman" w:hAnsi="Times New Roman"/>
          <w:b/>
          <w:sz w:val="20"/>
        </w:rPr>
      </w:pPr>
      <w:r>
        <w:rPr>
          <w:rFonts w:ascii="Times New Roman" w:hAnsi="Times New Roman"/>
          <w:b/>
          <w:sz w:val="20"/>
        </w:rPr>
        <w:t xml:space="preserve">DELIVERY OF WARRANT CERTIFICATES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Issuance of Warrants. </w:t>
      </w:r>
      <w:r>
        <w:rPr>
          <w:rFonts w:ascii="Times New Roman" w:hAnsi="Times New Roman"/>
          <w:sz w:val="20"/>
        </w:rPr>
        <w:t>[</w:t>
      </w:r>
      <w:r>
        <w:rPr>
          <w:rFonts w:ascii="Times New Roman" w:hAnsi="Times New Roman"/>
          <w:b/>
          <w:i/>
          <w:sz w:val="20"/>
        </w:rPr>
        <w:t>If Warrants alone</w:t>
      </w:r>
      <w:r>
        <w:rPr>
          <w:rFonts w:ascii="Times New Roman" w:hAnsi="Times New Roman"/>
          <w:sz w:val="20"/>
        </w:rPr>
        <w:t xml:space="preserve"> — Upon issuance, each Warrant Certificate shall evidence one or more Warrants.] [</w:t>
      </w:r>
      <w:r>
        <w:rPr>
          <w:rFonts w:ascii="Times New Roman" w:hAnsi="Times New Roman"/>
          <w:b/>
          <w:i/>
          <w:sz w:val="20"/>
        </w:rPr>
        <w:t>If Other Securities and Warrants</w:t>
      </w:r>
      <w:r>
        <w:rPr>
          <w:rFonts w:ascii="Times New Roman" w:hAnsi="Times New Roman"/>
          <w:sz w:val="20"/>
        </w:rPr>
        <w:t xml:space="preserve"> —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 w:hAnsi="Times New Roman"/>
          <w:b/>
          <w:i/>
          <w:sz w:val="20"/>
        </w:rPr>
        <w:t>If Other Securities and Warrants</w:t>
      </w:r>
      <w:r>
        <w:rPr>
          <w:rFonts w:ascii="Times New Roman" w:hAnsi="Times New Roman"/>
          <w:sz w:val="20"/>
        </w:rPr>
        <w:t xml:space="preserve"> — Warrant Certificates will be issued with the Other Securities and each Warrant Certificate will evidence [] Warrants for each [$[] principal amount] [[] shares] of Other Securities issued.]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Execution and Delivery of Warrant Certificates. </w:t>
      </w:r>
      <w:r>
        <w:rPr>
          <w:rFonts w:ascii="Times New Roman" w:hAnsi="Times New Roman"/>
          <w:sz w:val="20"/>
        </w:rPr>
        <w:t>Each Warrant Certificate, whenever issued</w:t>
      </w:r>
    </w:p>
    <w:p>
      <w:pPr>
        <w:pStyle w:val="TextBody"/>
        <w:bidi w:val="0"/>
        <w:spacing w:before="0" w:after="0"/>
        <w:jc w:val="left"/>
        <w:rPr>
          <w:rFonts w:ascii="Times New Roman" w:hAnsi="Times New Roman"/>
          <w:sz w:val="20"/>
        </w:rPr>
      </w:pPr>
      <w:r>
        <w:rPr>
          <w:rFonts w:ascii="Times New Roman" w:hAnsi="Times New Roman"/>
          <w:sz w:val="20"/>
        </w:rPr>
        <w:t xml:space="preserve">, shall be in registered form substantially in the form set forth in </w:t>
      </w:r>
      <w:r>
        <w:rPr>
          <w:rFonts w:ascii="Times New Roman" w:hAnsi="Times New Roman"/>
          <w:b/>
          <w:sz w:val="20"/>
        </w:rPr>
        <w:t>Exhibit A</w:t>
      </w:r>
      <w:r>
        <w:rPr>
          <w:rFonts w:ascii="Times New Roman" w:hAnsi="Times New Roman"/>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 </w:t>
      </w:r>
    </w:p>
    <w:p>
      <w:pPr>
        <w:pStyle w:val="TextBody"/>
        <w:bidi w:val="0"/>
        <w:spacing w:before="240" w:after="0"/>
        <w:jc w:val="left"/>
        <w:rPr>
          <w:rFonts w:ascii="Times New Roman" w:hAnsi="Times New Roman"/>
          <w:sz w:val="20"/>
        </w:rPr>
      </w:pPr>
      <w:r>
        <w:rPr>
          <w:rFonts w:ascii="Times New Roman" w:hAnsi="Times New Roman"/>
          <w:sz w:val="20"/>
        </w:rPr>
        <w:t xml:space="preserve">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or “</w:t>
      </w:r>
      <w:r>
        <w:rPr>
          <w:rFonts w:ascii="Times New Roman" w:hAnsi="Times New Roman"/>
          <w:b/>
          <w:i/>
          <w:sz w:val="20"/>
        </w:rPr>
        <w:t>holder of a Warrant Certificate</w:t>
      </w:r>
      <w:r>
        <w:rPr>
          <w:rFonts w:ascii="Times New Roman" w:hAnsi="Times New Roman"/>
          <w:sz w:val="20"/>
        </w:rPr>
        <w:t xml:space="preserve">” as used herein shall mean any person in whose name at the time any Warrant Certificate shall be registered upon the books to be maintained by the Warrant Agent for that purpose.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Issuance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WARRANT PRICE, DURATION AND EXERCISE OF WARRANTS </w:t>
      </w:r>
    </w:p>
    <w:p>
      <w:pPr>
        <w:pStyle w:val="TextBody"/>
        <w:bidi w:val="0"/>
        <w:spacing w:before="240" w:after="0"/>
        <w:jc w:val="left"/>
        <w:rPr>
          <w:rFonts w:ascii="Times New Roman" w:hAnsi="Times New Roman"/>
          <w:sz w:val="20"/>
        </w:rPr>
      </w:pPr>
      <w:r>
        <w:rPr>
          <w:rFonts w:ascii="Times New Roman" w:hAnsi="Times New Roman"/>
          <w:b/>
          <w:sz w:val="20"/>
        </w:rPr>
        <w:t>2.1 Warrant Price</w:t>
      </w:r>
      <w:r>
        <w:rPr>
          <w:rFonts w:ascii="Times New Roman" w:hAnsi="Times New Roman"/>
          <w:sz w:val="20"/>
        </w:rPr>
        <w:t>. 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hAnsi="Times New Roman"/>
          <w:b/>
          <w:i/>
          <w:sz w:val="20"/>
        </w:rPr>
        <w:t>Warrant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 xml:space="preserve">Duration of Warrants. </w:t>
      </w:r>
      <w:r>
        <w:rPr>
          <w:rFonts w:ascii="Times New Roman" w:hAnsi="Times New Roman"/>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 w:hAnsi="Times New Roman"/>
          <w:b/>
          <w:i/>
          <w:sz w:val="20"/>
        </w:rPr>
        <w:t>Expiration Date</w:t>
      </w:r>
      <w:r>
        <w:rPr>
          <w:rFonts w:ascii="Times New Roman" w:hAnsi="Times New Roman"/>
          <w:sz w:val="20"/>
        </w:rPr>
        <w:t xml:space="preserve">”). Each Warrant not exercised at or before [] p.m., [City] time, on the Expiration Date shall become void, and all rights of the holder of the Warrant Certificate evidencing such Warrant under this Agreement shall cease.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2.3 Exercise of Warrants.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Prior to the issuance of any Warrants there shall have been reserved, and the Company shall at all times through the Expiration Date keep reserved, out of its authorized but unissued Warrant Debt Securities, a number of shares sufficient to provide for the exercise of the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OTHER PROVISIONS RELATING TO RIGHTS OF HOLDERS OF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 xml:space="preserve">No Rights as Holder of Warrant Debt Securities Conferred by Warrants or Warrant Certificates. </w:t>
      </w:r>
      <w:r>
        <w:rPr>
          <w:rFonts w:ascii="Times New Roman" w:hAnsi="Times New Roman"/>
          <w:sz w:val="20"/>
        </w:rPr>
        <w:t xml:space="preserve">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 </w:t>
      </w:r>
    </w:p>
    <w:p>
      <w:pPr>
        <w:pStyle w:val="TextBody"/>
        <w:bidi w:val="0"/>
        <w:spacing w:before="12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 xml:space="preserve">Lost, Stolen, Mutilated or Destroyed Warrant Certificates. </w:t>
      </w:r>
      <w:r>
        <w:rPr>
          <w:rFonts w:ascii="Times New Roman" w:hAnsi="Times New Roman"/>
          <w:sz w:val="20"/>
        </w:rPr>
        <w:t xml:space="preserve">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 </w:t>
      </w:r>
    </w:p>
    <w:p>
      <w:pPr>
        <w:pStyle w:val="TextBody"/>
        <w:bidi w:val="0"/>
        <w:spacing w:before="12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Holder of Warrant Certificate May Enforce Rights.</w:t>
      </w:r>
      <w:r>
        <w:rPr>
          <w:rFonts w:ascii="Times New Roman" w:hAnsi="Times New Roman"/>
          <w:sz w:val="20"/>
        </w:rPr>
        <w:t xml:space="preserve"> 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Merger, Sale, Conveyance or Lease.</w:t>
      </w:r>
      <w:r>
        <w:rPr>
          <w:rFonts w:ascii="Times New Roman" w:hAnsi="Times New Roman"/>
          <w:sz w:val="20"/>
        </w:rPr>
        <w:t xml:space="preserve"> 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hAnsi="Times New Roman"/>
          <w:b/>
          <w:i/>
          <w:sz w:val="20"/>
        </w:rPr>
        <w:t>Reorganization Event</w:t>
      </w:r>
      <w:r>
        <w:rPr>
          <w:rFonts w:ascii="Times New Roman" w:hAnsi="Times New Roman"/>
          <w:sz w:val="20"/>
        </w:rPr>
        <w:t xml:space="preserve">”),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 </w:t>
      </w:r>
    </w:p>
    <w:p>
      <w:pPr>
        <w:pStyle w:val="TextBody"/>
        <w:bidi w:val="0"/>
        <w:spacing w:before="12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 xml:space="preserve">Notice to Warrantholders. </w:t>
      </w:r>
      <w:r>
        <w:rPr>
          <w:rFonts w:ascii="Times New Roman" w:hAnsi="Times New Roman"/>
          <w:sz w:val="20"/>
        </w:rPr>
        <w:t xml:space="preserve">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EXCHANGE AND TRANSFER OF WARRANT CERTIFICATES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Treatment of</w:t>
      </w:r>
      <w:r>
        <w:rPr>
          <w:rFonts w:ascii="Times New Roman" w:hAnsi="Times New Roman"/>
          <w:sz w:val="20"/>
        </w:rPr>
        <w:t xml:space="preserve"> </w:t>
      </w:r>
      <w:r>
        <w:rPr>
          <w:rFonts w:ascii="Times New Roman" w:hAnsi="Times New Roman"/>
          <w:b/>
          <w:sz w:val="20"/>
        </w:rPr>
        <w:t>Holders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 </w:t>
      </w:r>
    </w:p>
    <w:p>
      <w:pPr>
        <w:pStyle w:val="TextBody"/>
        <w:bidi w:val="0"/>
        <w:spacing w:before="12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Cancellation of</w:t>
      </w:r>
      <w:r>
        <w:rPr>
          <w:rFonts w:ascii="Times New Roman" w:hAnsi="Times New Roman"/>
          <w:sz w:val="20"/>
        </w:rPr>
        <w:t xml:space="preserve"> </w:t>
      </w:r>
      <w:r>
        <w:rPr>
          <w:rFonts w:ascii="Times New Roman" w:hAnsi="Times New Roman"/>
          <w:b/>
          <w:sz w:val="20"/>
        </w:rPr>
        <w:t xml:space="preserve">Warrant Certificates. </w:t>
      </w:r>
      <w:r>
        <w:rPr>
          <w:rFonts w:ascii="Times New Roman" w:hAnsi="Times New Roman"/>
          <w:sz w:val="20"/>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CONCERNING THE WARRANT AGENT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 xml:space="preserve">Warrant Agent. </w:t>
      </w:r>
      <w:r>
        <w:rPr>
          <w:rFonts w:ascii="Times New Roman" w:hAnsi="Times New Roman"/>
          <w:sz w:val="20"/>
        </w:rPr>
        <w:t xml:space="preserve">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 </w:t>
      </w:r>
    </w:p>
    <w:p>
      <w:pPr>
        <w:pStyle w:val="TextBody"/>
        <w:bidi w:val="0"/>
        <w:spacing w:before="12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Conditions of Warrant Agent</w:t>
      </w:r>
      <w:r>
        <w:rPr>
          <w:rFonts w:ascii="Times New Roman" w:hAnsi="Times New Roman"/>
          <w:sz w:val="20"/>
        </w:rPr>
        <w:t>’</w:t>
      </w:r>
      <w:r>
        <w:rPr>
          <w:rFonts w:ascii="Times New Roman" w:hAnsi="Times New Roman"/>
          <w:b/>
          <w:sz w:val="20"/>
        </w:rPr>
        <w:t xml:space="preserve">s Obligations. </w:t>
      </w:r>
      <w:r>
        <w:rPr>
          <w:rFonts w:ascii="Times New Roman" w:hAnsi="Times New Roman"/>
          <w:sz w:val="20"/>
        </w:rPr>
        <w:t xml:space="preserve">The Warrant Agent accepts its obligations herein set forth upon the terms and conditions hereof, including the following to all of which the Company agrees and to all of which the rights hereunder of the holders from time to time of the Warrant Certificates shall be subject: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Compensation and Indemnification. </w:t>
      </w:r>
      <w:r>
        <w:rPr>
          <w:rFonts w:ascii="Times New Roman" w:hAnsi="Times New Roman"/>
          <w:sz w:val="20"/>
        </w:rPr>
        <w:t xml:space="preserve">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Agent for the Company. </w:t>
      </w:r>
      <w:r>
        <w:rPr>
          <w:rFonts w:ascii="Times New Roman" w:hAnsi="Times New Roman"/>
          <w:sz w:val="20"/>
        </w:rPr>
        <w:t xml:space="preserve">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Counsel. </w:t>
      </w:r>
      <w:r>
        <w:rPr>
          <w:rFonts w:ascii="Times New Roman" w:hAnsi="Times New Roman"/>
          <w:sz w:val="20"/>
        </w:rPr>
        <w:t xml:space="preserve">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Documents. </w:t>
      </w:r>
      <w:r>
        <w:rPr>
          <w:rFonts w:ascii="Times New Roman" w:hAnsi="Times New Roman"/>
          <w:sz w:val="20"/>
        </w:rPr>
        <w:t xml:space="preserve">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 xml:space="preserve">Certain Transactions. </w:t>
      </w:r>
      <w:r>
        <w:rPr>
          <w:rFonts w:ascii="Times New Roman" w:hAnsi="Times New Roman"/>
          <w:sz w:val="20"/>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 xml:space="preserve">No Liability for Interest. </w:t>
      </w:r>
      <w:r>
        <w:rPr>
          <w:rFonts w:ascii="Times New Roman" w:hAnsi="Times New Roman"/>
          <w:sz w:val="20"/>
        </w:rPr>
        <w:t xml:space="preserve">Unless otherwise agreed with the Company, the Warrant Agent shall have no liability for interest on any monies at any time received by it pursuant to any of the provisions of this Agreement or of the Warrant Certificates.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 xml:space="preserve">No Liability for Invalidity. </w:t>
      </w:r>
      <w:r>
        <w:rPr>
          <w:rFonts w:ascii="Times New Roman" w:hAnsi="Times New Roman"/>
          <w:sz w:val="20"/>
        </w:rPr>
        <w:t xml:space="preserve">The Warrant Agent shall have no liability with respect to any invalidity of this Agreement or any of the Warrant Certificates (except as to the Warrant Agent’s countersignature thereon).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 xml:space="preserve">No Responsibility for Representations. </w:t>
      </w:r>
      <w:r>
        <w:rPr>
          <w:rFonts w:ascii="Times New Roman" w:hAnsi="Times New Roman"/>
          <w:sz w:val="20"/>
        </w:rPr>
        <w:t xml:space="preserve">The Warrant Agent shall not be responsible for any of the recitals or representations herein or in the Warrant Certificates (except as to the Warrant Agent’s countersignature thereon), all of which are made solely by the Company.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No Implied Obligations. </w:t>
      </w:r>
      <w:r>
        <w:rPr>
          <w:rFonts w:ascii="Times New Roman" w:hAnsi="Times New Roman"/>
          <w:sz w:val="20"/>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 </w:t>
      </w:r>
    </w:p>
    <w:p>
      <w:pPr>
        <w:pStyle w:val="TextBody"/>
        <w:bidi w:val="0"/>
        <w:spacing w:before="120" w:after="0"/>
        <w:jc w:val="left"/>
        <w:rPr>
          <w:rFonts w:ascii="Times New Roman" w:hAnsi="Times New Roman"/>
          <w:b/>
          <w:sz w:val="20"/>
        </w:rPr>
      </w:pPr>
      <w:r>
        <w:rPr>
          <w:rFonts w:ascii="Times New Roman" w:hAnsi="Times New Roman"/>
          <w:b/>
          <w:sz w:val="20"/>
        </w:rPr>
        <w:t xml:space="preserve">5.3 Resignation, Removal and Appointment of Successors.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agrees, for the benefit of the holders from time to time of the Warrant Certificates, that there shall at all times be a Warrant Agent hereunder until all the Warrants have been exercised or are no longer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 </w:t>
      </w:r>
    </w:p>
    <w:p>
      <w:pPr>
        <w:pStyle w:val="TextBody"/>
        <w:bidi w:val="0"/>
        <w:spacing w:before="12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 xml:space="preserve">Notices and Demands to the Company and Warrant Agent. </w:t>
      </w:r>
      <w:r>
        <w:rPr>
          <w:rFonts w:ascii="Times New Roman" w:hAnsi="Times New Roman"/>
          <w:sz w:val="20"/>
        </w:rPr>
        <w:t xml:space="preserve">If the Warrant Agent shall receive any notice or demand addressed to the Company by the holder of a Warrant Certificate pursuant to the provisions of the Warrant Certificates, the Warrant Agent shall promptly forward such notice or demand to the Company. </w:t>
      </w:r>
    </w:p>
    <w:p>
      <w:pPr>
        <w:pStyle w:val="TextBody"/>
        <w:bidi w:val="0"/>
        <w:spacing w:before="12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 xml:space="preserve">Addresses. </w:t>
      </w:r>
      <w:r>
        <w:rPr>
          <w:rFonts w:ascii="Times New Roman" w:hAnsi="Times New Roman"/>
          <w:sz w:val="20"/>
        </w:rPr>
        <w:t xml:space="preserve">Any communication from the Company to the Warrant Agent with respect to this Agreement shall be addressed to [], Attention: [] and any communication from the Warrant Agent to the Company with respect to this Agreement shall be addressed to ImageneBio, Inc., 12526 High Bluff Drive, Suite 345, San Diego, CA 92130, Attention: [] (or such other address as shall be specified in writing by the Warrant Agent or by the Company). </w:t>
      </w:r>
    </w:p>
    <w:p>
      <w:pPr>
        <w:pStyle w:val="TextBody"/>
        <w:bidi w:val="0"/>
        <w:spacing w:before="12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 xml:space="preserve">Governing Law. </w:t>
      </w:r>
      <w:r>
        <w:rPr>
          <w:rFonts w:ascii="Times New Roman" w:hAnsi="Times New Roman"/>
          <w:sz w:val="20"/>
        </w:rPr>
        <w:t xml:space="preserve">This Agreement and each Warrant Certificate issued hereunder shall be governed by and construed in accordance with the laws of the State of New York. </w:t>
      </w:r>
    </w:p>
    <w:p>
      <w:pPr>
        <w:pStyle w:val="TextBody"/>
        <w:bidi w:val="0"/>
        <w:spacing w:before="12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 xml:space="preserve">Delivery of Prospectus. </w:t>
      </w:r>
      <w:r>
        <w:rPr>
          <w:rFonts w:ascii="Times New Roman" w:hAnsi="Times New Roman"/>
          <w:sz w:val="20"/>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 w:hAnsi="Times New Roman"/>
          <w:b/>
          <w:i/>
          <w:sz w:val="20"/>
        </w:rPr>
        <w:t>Prospectus</w:t>
      </w:r>
      <w:r>
        <w:rPr>
          <w:rFonts w:ascii="Times New Roman" w:hAnsi="Times New Roman"/>
          <w:sz w:val="20"/>
        </w:rPr>
        <w:t xml:space="preserve">”),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 </w:t>
      </w:r>
    </w:p>
    <w:p>
      <w:pPr>
        <w:pStyle w:val="TextBody"/>
        <w:bidi w:val="0"/>
        <w:spacing w:before="12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 xml:space="preserve">Obtaining of Governmental Approvals. </w:t>
      </w:r>
      <w:r>
        <w:rPr>
          <w:rFonts w:ascii="Times New Roman" w:hAnsi="Times New Roman"/>
          <w:sz w:val="20"/>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 </w:t>
      </w:r>
    </w:p>
    <w:p>
      <w:pPr>
        <w:pStyle w:val="TextBody"/>
        <w:bidi w:val="0"/>
        <w:spacing w:before="12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 xml:space="preserve">Persons Having Rights Under the Agreement. </w:t>
      </w:r>
      <w:r>
        <w:rPr>
          <w:rFonts w:ascii="Times New Roman" w:hAnsi="Times New Roman"/>
          <w:sz w:val="20"/>
        </w:rPr>
        <w:t xml:space="preserve">Nothing in this Agreement shall give to any person other than the Company, the Warrant Agent and the holders of the Warrant Certificates any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 xml:space="preserve">Headings. </w:t>
      </w:r>
      <w:r>
        <w:rPr>
          <w:rFonts w:ascii="Times New Roman" w:hAnsi="Times New Roman"/>
          <w:sz w:val="20"/>
        </w:rPr>
        <w:t xml:space="preserve">The descriptive headings of the several Articles and Sections of this Agreement are inserted for convenience only and shall not control or affect the meaning or construction of any of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 xml:space="preserve">Counterparts. </w:t>
      </w:r>
      <w:r>
        <w:rPr>
          <w:rFonts w:ascii="Times New Roman" w:hAnsi="Times New Roman"/>
          <w:sz w:val="20"/>
        </w:rPr>
        <w:t xml:space="preserve">This Agreement may be executed in any number of counterparts, each of which as so executed shall be deemed to be an original, but such counterparts shall together constitute but one and the same instrument. </w:t>
      </w:r>
    </w:p>
    <w:p>
      <w:pPr>
        <w:pStyle w:val="TextBody"/>
        <w:bidi w:val="0"/>
        <w:spacing w:before="12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of Agreement. </w:t>
      </w:r>
      <w:r>
        <w:rPr>
          <w:rFonts w:ascii="Times New Roman" w:hAnsi="Times New Roman"/>
          <w:sz w:val="20"/>
        </w:rPr>
        <w:t xml:space="preserve">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11"/>
        <w:gridCol w:w="87"/>
        <w:gridCol w:w="2384"/>
      </w:tblGrid>
      <w:tr>
        <w:trPr/>
        <w:tc>
          <w:tcPr>
            <w:tcW w:w="1611"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w:t>
            </w:r>
            <w:r>
              <w:rPr>
                <w:sz w:val="20"/>
              </w:rPr>
              <w:t>MAGENE</w:t>
            </w:r>
            <w:r>
              <w:rPr/>
              <w:t>B</w:t>
            </w:r>
            <w:r>
              <w:rPr>
                <w:sz w:val="20"/>
              </w:rPr>
              <w:t>IO</w:t>
            </w:r>
            <w:r>
              <w:rPr/>
              <w:t>, I</w:t>
            </w:r>
            <w:r>
              <w:rPr>
                <w:sz w:val="20"/>
              </w:rPr>
              <w:t>NC</w:t>
            </w:r>
            <w:r>
              <w:rPr/>
              <w:t>., as Company</w:t>
            </w:r>
          </w:p>
        </w:tc>
      </w:tr>
      <w:tr>
        <w:trPr>
          <w:trHeight w:val="240" w:hRule="atLeast"/>
        </w:trPr>
        <w:tc>
          <w:tcPr>
            <w:tcW w:w="1611" w:type="dxa"/>
            <w:tcBorders/>
            <w:vAlign w:val="center"/>
          </w:tcPr>
          <w:p>
            <w:pPr>
              <w:pStyle w:val="TableContents"/>
              <w:bidi w:val="0"/>
              <w:spacing w:before="0" w:after="283"/>
              <w:jc w:val="left"/>
              <w:rPr>
                <w:sz w:val="4"/>
                <w:szCs w:val="4"/>
              </w:rPr>
            </w:pPr>
            <w:r>
              <w:rPr>
                <w:sz w:val="4"/>
                <w:szCs w:val="4"/>
              </w:rPr>
            </w:r>
          </w:p>
        </w:tc>
        <w:tc>
          <w:tcPr>
            <w:tcW w:w="2471" w:type="dxa"/>
            <w:gridSpan w:val="2"/>
            <w:tcBorders/>
            <w:vAlign w:val="center"/>
          </w:tcPr>
          <w:p>
            <w:pPr>
              <w:pStyle w:val="TableContents"/>
              <w:bidi w:val="0"/>
              <w:spacing w:before="0" w:after="283"/>
              <w:jc w:val="left"/>
              <w:rPr>
                <w:sz w:val="4"/>
                <w:szCs w:val="4"/>
              </w:rPr>
            </w:pPr>
            <w:r>
              <w:rPr>
                <w:sz w:val="4"/>
                <w:szCs w:val="4"/>
              </w:rPr>
            </w:r>
          </w:p>
        </w:tc>
      </w:tr>
      <w:tr>
        <w:trPr/>
        <w:tc>
          <w:tcPr>
            <w:tcW w:w="1611"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c>
          <w:tcPr>
            <w:tcW w:w="1611" w:type="dxa"/>
            <w:tcBorders/>
          </w:tcPr>
          <w:p>
            <w:pPr>
              <w:pStyle w:val="TableContents"/>
              <w:bidi w:val="0"/>
              <w:spacing w:before="0" w:after="283"/>
              <w:jc w:val="left"/>
              <w:rPr/>
            </w:pPr>
            <w:r>
              <w:rPr/>
              <w:t>Name:</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c>
          <w:tcPr>
            <w:tcW w:w="1611" w:type="dxa"/>
            <w:tcBorders/>
          </w:tcPr>
          <w:p>
            <w:pPr>
              <w:pStyle w:val="TableContents"/>
              <w:bidi w:val="0"/>
              <w:spacing w:before="0" w:after="283"/>
              <w:jc w:val="left"/>
              <w:rPr/>
            </w:pPr>
            <w:r>
              <w:rPr/>
              <w:t>Title:</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rHeight w:val="240" w:hRule="atLeast"/>
        </w:trPr>
        <w:tc>
          <w:tcPr>
            <w:tcW w:w="1611" w:type="dxa"/>
            <w:tcBorders/>
            <w:vAlign w:val="center"/>
          </w:tcPr>
          <w:p>
            <w:pPr>
              <w:pStyle w:val="TableContents"/>
              <w:bidi w:val="0"/>
              <w:spacing w:before="0" w:after="283"/>
              <w:jc w:val="left"/>
              <w:rPr>
                <w:sz w:val="4"/>
                <w:szCs w:val="4"/>
              </w:rPr>
            </w:pPr>
            <w:r>
              <w:rPr>
                <w:sz w:val="4"/>
                <w:szCs w:val="4"/>
              </w:rPr>
            </w:r>
          </w:p>
        </w:tc>
        <w:tc>
          <w:tcPr>
            <w:tcW w:w="2471" w:type="dxa"/>
            <w:gridSpan w:val="2"/>
            <w:tcBorders/>
            <w:vAlign w:val="center"/>
          </w:tcPr>
          <w:p>
            <w:pPr>
              <w:pStyle w:val="TableContents"/>
              <w:bidi w:val="0"/>
              <w:spacing w:before="0" w:after="283"/>
              <w:jc w:val="left"/>
              <w:rPr>
                <w:sz w:val="4"/>
                <w:szCs w:val="4"/>
              </w:rPr>
            </w:pPr>
            <w:r>
              <w:rPr>
                <w:sz w:val="4"/>
                <w:szCs w:val="4"/>
              </w:rPr>
            </w:r>
          </w:p>
        </w:tc>
      </w:tr>
      <w:tr>
        <w:trPr/>
        <w:tc>
          <w:tcPr>
            <w:tcW w:w="1611" w:type="dxa"/>
            <w:tcBorders/>
          </w:tcPr>
          <w:p>
            <w:pPr>
              <w:pStyle w:val="TableContents"/>
              <w:bidi w:val="0"/>
              <w:spacing w:before="0" w:after="283"/>
              <w:jc w:val="left"/>
              <w:rPr>
                <w:b/>
              </w:rPr>
            </w:pPr>
            <w:r>
              <w:rPr>
                <w:b/>
              </w:rPr>
              <w:t>A</w:t>
            </w:r>
            <w:r>
              <w:rPr>
                <w:b/>
                <w:sz w:val="20"/>
              </w:rPr>
              <w:t>TTEST</w:t>
            </w:r>
            <w:r>
              <w:rPr>
                <w:b/>
              </w:rPr>
              <w:t>:</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c>
          <w:tcPr>
            <w:tcW w:w="1611"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1611" w:type="dxa"/>
            <w:tcBorders/>
            <w:vAlign w:val="center"/>
          </w:tcPr>
          <w:p>
            <w:pPr>
              <w:pStyle w:val="TableContents"/>
              <w:bidi w:val="0"/>
              <w:spacing w:before="0" w:after="283"/>
              <w:jc w:val="left"/>
              <w:rPr>
                <w:sz w:val="4"/>
                <w:szCs w:val="4"/>
              </w:rPr>
            </w:pPr>
            <w:r>
              <w:rPr>
                <w:sz w:val="4"/>
                <w:szCs w:val="4"/>
              </w:rPr>
            </w:r>
          </w:p>
        </w:tc>
        <w:tc>
          <w:tcPr>
            <w:tcW w:w="2471" w:type="dxa"/>
            <w:gridSpan w:val="2"/>
            <w:tcBorders/>
            <w:vAlign w:val="center"/>
          </w:tcPr>
          <w:p>
            <w:pPr>
              <w:pStyle w:val="TableContents"/>
              <w:bidi w:val="0"/>
              <w:spacing w:before="0" w:after="283"/>
              <w:jc w:val="left"/>
              <w:rPr>
                <w:sz w:val="4"/>
                <w:szCs w:val="4"/>
              </w:rPr>
            </w:pPr>
            <w:r>
              <w:rPr>
                <w:sz w:val="4"/>
                <w:szCs w:val="4"/>
              </w:rPr>
            </w:r>
          </w:p>
        </w:tc>
      </w:tr>
      <w:tr>
        <w:trPr/>
        <w:tc>
          <w:tcPr>
            <w:tcW w:w="1611" w:type="dxa"/>
            <w:tcBorders/>
          </w:tcPr>
          <w:p>
            <w:pPr>
              <w:pStyle w:val="TableContents"/>
              <w:bidi w:val="0"/>
              <w:spacing w:before="0" w:after="283"/>
              <w:jc w:val="left"/>
              <w:rPr/>
            </w:pPr>
            <w:r>
              <w:rPr/>
              <w:t>By:</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c>
          <w:tcPr>
            <w:tcW w:w="1611" w:type="dxa"/>
            <w:tcBorders/>
          </w:tcPr>
          <w:p>
            <w:pPr>
              <w:pStyle w:val="TableContents"/>
              <w:bidi w:val="0"/>
              <w:spacing w:before="0" w:after="283"/>
              <w:jc w:val="left"/>
              <w:rPr/>
            </w:pPr>
            <w:r>
              <w:rPr/>
              <w:t>Name:</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c>
          <w:tcPr>
            <w:tcW w:w="1611" w:type="dxa"/>
            <w:tcBorders/>
          </w:tcPr>
          <w:p>
            <w:pPr>
              <w:pStyle w:val="TableContents"/>
              <w:bidi w:val="0"/>
              <w:spacing w:before="0" w:after="283"/>
              <w:jc w:val="left"/>
              <w:rPr/>
            </w:pPr>
            <w:r>
              <w:rPr/>
              <w:t>Title:</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rHeight w:val="240" w:hRule="atLeast"/>
        </w:trPr>
        <w:tc>
          <w:tcPr>
            <w:tcW w:w="1611" w:type="dxa"/>
            <w:tcBorders/>
            <w:vAlign w:val="center"/>
          </w:tcPr>
          <w:p>
            <w:pPr>
              <w:pStyle w:val="TableContents"/>
              <w:bidi w:val="0"/>
              <w:spacing w:before="0" w:after="283"/>
              <w:jc w:val="left"/>
              <w:rPr>
                <w:sz w:val="4"/>
                <w:szCs w:val="4"/>
              </w:rPr>
            </w:pPr>
            <w:r>
              <w:rPr>
                <w:sz w:val="4"/>
                <w:szCs w:val="4"/>
              </w:rPr>
            </w:r>
          </w:p>
        </w:tc>
        <w:tc>
          <w:tcPr>
            <w:tcW w:w="2471" w:type="dxa"/>
            <w:gridSpan w:val="2"/>
            <w:tcBorders/>
            <w:vAlign w:val="center"/>
          </w:tcPr>
          <w:p>
            <w:pPr>
              <w:pStyle w:val="TableContents"/>
              <w:bidi w:val="0"/>
              <w:spacing w:before="0" w:after="283"/>
              <w:jc w:val="left"/>
              <w:rPr>
                <w:sz w:val="4"/>
                <w:szCs w:val="4"/>
              </w:rPr>
            </w:pPr>
            <w:r>
              <w:rPr>
                <w:sz w:val="4"/>
                <w:szCs w:val="4"/>
              </w:rPr>
            </w:r>
          </w:p>
        </w:tc>
      </w:tr>
      <w:tr>
        <w:trPr/>
        <w:tc>
          <w:tcPr>
            <w:tcW w:w="1611" w:type="dxa"/>
            <w:tcBorders/>
          </w:tcPr>
          <w:p>
            <w:pPr>
              <w:pStyle w:val="TableContents"/>
              <w:bidi w:val="0"/>
              <w:spacing w:before="0" w:after="283"/>
              <w:jc w:val="left"/>
              <w:rPr>
                <w:b/>
              </w:rPr>
            </w:pPr>
            <w:r>
              <w:rPr>
                <w:b/>
              </w:rPr>
              <w:t>A</w:t>
            </w:r>
            <w:r>
              <w:rPr>
                <w:b/>
                <w:sz w:val="20"/>
              </w:rPr>
              <w:t>TTEST</w:t>
            </w:r>
            <w:r>
              <w:rPr>
                <w:b/>
              </w:rPr>
              <w:t>:</w:t>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r>
        <w:trPr/>
        <w:tc>
          <w:tcPr>
            <w:tcW w:w="1611"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384"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IMAGENEBIO, INC. DEBT SECURITIES WARRANT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[FACE OF WARRANT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9"/>
        <w:gridCol w:w="121"/>
        <w:gridCol w:w="4895"/>
      </w:tblGrid>
      <w:tr>
        <w:trPr/>
        <w:tc>
          <w:tcPr>
            <w:tcW w:w="51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r>
      <w:tr>
        <w:trPr/>
        <w:tc>
          <w:tcPr>
            <w:tcW w:w="5189" w:type="dxa"/>
            <w:tcBorders/>
          </w:tcPr>
          <w:p>
            <w:pPr>
              <w:pStyle w:val="TableContents"/>
              <w:bidi w:val="0"/>
              <w:spacing w:before="0" w:after="283"/>
              <w:jc w:val="left"/>
              <w:rPr/>
            </w:pPr>
            <w:r>
              <w:rPr/>
              <w:t>[</w:t>
            </w:r>
            <w:r>
              <w:rPr>
                <w:b/>
                <w:i/>
              </w:rPr>
              <w:t>Form of Legend if Warrants are not immediately exercisable.</w:t>
            </w:r>
            <w:r>
              <w:rPr/>
              <w:t>]</w:t>
            </w:r>
          </w:p>
        </w:tc>
        <w:tc>
          <w:tcPr>
            <w:tcW w:w="121" w:type="dxa"/>
            <w:tcBorders/>
            <w:vAlign w:val="bottom"/>
          </w:tcPr>
          <w:p>
            <w:pPr>
              <w:pStyle w:val="TableContents"/>
              <w:bidi w:val="0"/>
              <w:spacing w:before="0" w:after="283"/>
              <w:jc w:val="left"/>
              <w:rPr/>
            </w:pPr>
            <w:r>
              <w:rPr/>
              <w:t>  </w:t>
            </w:r>
          </w:p>
        </w:tc>
        <w:tc>
          <w:tcPr>
            <w:tcW w:w="4895" w:type="dxa"/>
            <w:tcBorders/>
          </w:tcPr>
          <w:p>
            <w:pPr>
              <w:pStyle w:val="TableContents"/>
              <w:bidi w:val="0"/>
              <w:spacing w:before="0" w:after="283"/>
              <w:jc w:val="left"/>
              <w:rPr/>
            </w:pPr>
            <w:r>
              <w:rPr/>
              <w:t>[Prior to [], Warrants evidenced by this Warrant Certificate cannot be exercised.]</w:t>
            </w:r>
          </w:p>
        </w:tc>
      </w:tr>
    </w:tbl>
    <w:p>
      <w:pPr>
        <w:pStyle w:val="TextBody"/>
        <w:bidi w:val="0"/>
        <w:spacing w:before="240" w:after="0"/>
        <w:jc w:val="center"/>
        <w:rPr>
          <w:rFonts w:ascii="Times New Roman" w:hAnsi="Times New Roman"/>
          <w:sz w:val="20"/>
        </w:rPr>
      </w:pPr>
      <w:r>
        <w:rPr>
          <w:rFonts w:ascii="Times New Roman" w:hAnsi="Times New Roman"/>
          <w:sz w:val="20"/>
        </w:rPr>
        <w:t xml:space="preserve">EXERCISABLE ONLY IF COUNTERSIGNED BY THE WARRANT AGENT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VOID AFTER [] P.M., [City] time, ON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CERTIFICATE REPRESENTING </w:t>
      </w:r>
    </w:p>
    <w:p>
      <w:pPr>
        <w:pStyle w:val="TextBody"/>
        <w:bidi w:val="0"/>
        <w:spacing w:before="0" w:after="0"/>
        <w:jc w:val="center"/>
        <w:rPr>
          <w:rFonts w:ascii="Times New Roman" w:hAnsi="Times New Roman"/>
          <w:b/>
          <w:sz w:val="20"/>
        </w:rPr>
      </w:pPr>
      <w:r>
        <w:rPr>
          <w:rFonts w:ascii="Times New Roman" w:hAnsi="Times New Roman"/>
          <w:b/>
          <w:sz w:val="20"/>
        </w:rPr>
        <w:t xml:space="preserve">WARRANTS TO PURCHASE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WARRANT DEBT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0"/>
        <w:gridCol w:w="4962"/>
      </w:tblGrid>
      <w:tr>
        <w:trPr/>
        <w:tc>
          <w:tcPr>
            <w:tcW w:w="51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2"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w:t>
            </w:r>
          </w:p>
        </w:tc>
        <w:tc>
          <w:tcPr>
            <w:tcW w:w="120" w:type="dxa"/>
            <w:tcBorders/>
            <w:vAlign w:val="bottom"/>
          </w:tcPr>
          <w:p>
            <w:pPr>
              <w:pStyle w:val="TableContents"/>
              <w:bidi w:val="0"/>
              <w:spacing w:before="0" w:after="283"/>
              <w:jc w:val="left"/>
              <w:rPr/>
            </w:pPr>
            <w:r>
              <w:rPr/>
              <w:t>  </w:t>
            </w:r>
          </w:p>
        </w:tc>
        <w:tc>
          <w:tcPr>
            <w:tcW w:w="4962" w:type="dxa"/>
            <w:tcBorders/>
          </w:tcPr>
          <w:p>
            <w:pPr>
              <w:pStyle w:val="TableContents"/>
              <w:bidi w:val="0"/>
              <w:spacing w:before="0" w:after="283"/>
              <w:jc w:val="right"/>
              <w:rPr/>
            </w:pPr>
            <w:r>
              <w:rPr/>
              <w:t>[] Warrants</w:t>
            </w:r>
          </w:p>
        </w:tc>
      </w:tr>
    </w:tbl>
    <w:p>
      <w:pPr>
        <w:pStyle w:val="TextBody"/>
        <w:bidi w:val="0"/>
        <w:spacing w:before="240" w:after="0"/>
        <w:jc w:val="left"/>
        <w:rPr>
          <w:rFonts w:ascii="Times New Roman" w:hAnsi="Times New Roman"/>
          <w:sz w:val="20"/>
        </w:rPr>
      </w:pPr>
      <w:r>
        <w:rPr>
          <w:rFonts w:ascii="Times New Roman" w:hAnsi="Times New Roman"/>
          <w:sz w:val="20"/>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hAnsi="Times New Roman"/>
          <w:b/>
          <w:i/>
          <w:sz w:val="20"/>
        </w:rPr>
        <w:t>Warrant Debt Securities</w:t>
      </w:r>
      <w:r>
        <w:rPr>
          <w:rFonts w:ascii="Times New Roman" w:hAnsi="Times New Roman"/>
          <w:sz w:val="20"/>
        </w:rPr>
        <w:t>”), of ImageneBio, Inc. (the “</w:t>
      </w:r>
      <w:r>
        <w:rPr>
          <w:rFonts w:ascii="Times New Roman" w:hAnsi="Times New Roman"/>
          <w:b/>
          <w:i/>
          <w:sz w:val="20"/>
        </w:rPr>
        <w:t>Company</w:t>
      </w:r>
      <w:r>
        <w:rPr>
          <w:rFonts w:ascii="Times New Roman" w:hAnsi="Times New Roman"/>
          <w:sz w:val="20"/>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hAnsi="Times New Roman"/>
          <w:b/>
          <w:i/>
          <w:sz w:val="20"/>
        </w:rPr>
        <w:t>Warrant Price</w:t>
      </w:r>
      <w:r>
        <w:rPr>
          <w:rFonts w:ascii="Times New Roman" w:hAnsi="Times New Roman"/>
          <w:sz w:val="20"/>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hAnsi="Times New Roman"/>
          <w:b/>
          <w:i/>
          <w:sz w:val="20"/>
        </w:rPr>
        <w:t>Warrant Agent</w:t>
      </w:r>
      <w:r>
        <w:rPr>
          <w:rFonts w:ascii="Times New Roman" w:hAnsi="Times New Roman"/>
          <w:sz w:val="20"/>
        </w:rPr>
        <w:t xml:space="preserve">”), which is, on the date hereof, at the address specified on the reverse hereof, and upon compliance with and subject to the conditions set forth herein and in the Warrant Agreement (as hereinafter defined).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Holder</w:t>
      </w:r>
      <w:r>
        <w:rPr>
          <w:rFonts w:ascii="Times New Roman" w:hAnsi="Times New Roman"/>
          <w:sz w:val="20"/>
        </w:rPr>
        <w:t xml:space="preserve">” as used herein shall mean the person in whose name at the time this Warrant Certificate shall be registered upon the books to be maintained by the Warrant Agent for that purpose pursuant to Section 4 of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 </w:t>
      </w:r>
    </w:p>
    <w:p>
      <w:pPr>
        <w:pStyle w:val="TextBody"/>
        <w:bidi w:val="0"/>
        <w:spacing w:before="240" w:after="0"/>
        <w:jc w:val="left"/>
        <w:rPr>
          <w:rFonts w:ascii="Times New Roman" w:hAnsi="Times New Roman"/>
          <w:sz w:val="20"/>
        </w:rPr>
      </w:pPr>
      <w:r>
        <w:rPr>
          <w:rFonts w:ascii="Times New Roman" w:hAnsi="Times New Roman"/>
          <w:sz w:val="20"/>
        </w:rPr>
        <w:t>This Warrant Certificate is issued under and in accordance with the Warrant Agreement dated as of [] (the “</w:t>
      </w:r>
      <w:r>
        <w:rPr>
          <w:rFonts w:ascii="Times New Roman" w:hAnsi="Times New Roman"/>
          <w:b/>
          <w:i/>
          <w:sz w:val="20"/>
        </w:rPr>
        <w:t>Warrant Agreement</w:t>
      </w:r>
      <w:r>
        <w:rPr>
          <w:rFonts w:ascii="Times New Roman" w:hAnsi="Times New Roman"/>
          <w:sz w:val="20"/>
        </w:rPr>
        <w:t xml:space="preserve">”),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Warrant Debt Securities to be issued and delivered upon the exercise of Warrants evidenced by this Warrant Certificate will be issued under and in accordance with an Indenture, dated as of [] (the “</w:t>
      </w:r>
      <w:r>
        <w:rPr>
          <w:rFonts w:ascii="Times New Roman" w:hAnsi="Times New Roman"/>
          <w:b/>
          <w:i/>
          <w:sz w:val="20"/>
        </w:rPr>
        <w:t>Indenture</w:t>
      </w:r>
      <w:r>
        <w:rPr>
          <w:rFonts w:ascii="Times New Roman" w:hAnsi="Times New Roman"/>
          <w:sz w:val="20"/>
        </w:rPr>
        <w:t>”), between the Company and [], as trustee (such trustee, and any successors to such trustee, the “</w:t>
      </w:r>
      <w:r>
        <w:rPr>
          <w:rFonts w:ascii="Times New Roman" w:hAnsi="Times New Roman"/>
          <w:b/>
          <w:i/>
          <w:sz w:val="20"/>
        </w:rPr>
        <w:t>Trustee</w:t>
      </w:r>
      <w:r>
        <w:rPr>
          <w:rFonts w:ascii="Times New Roman" w:hAnsi="Times New Roman"/>
          <w:sz w:val="20"/>
        </w:rPr>
        <w:t xml:space="preserve">”)] and will be subject to the terms and provisions contained in the Warrant Debt Securities and in the Indenture. Copies of the Indenture, including the form of the Warrant Debt Securities, are on file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Transfer of this Warrant Certificate may be registered when this Warrant Certificate is surrendered at the corporate trust office of the Warrant Agent by the registered owner or such owner’s assigns, in the manner and subject to the limitations provided in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Warrant Certificate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This Warrant Certificate shall not be valid or obligatory for any purpose until countersigned by the Warrant Agent.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Company has caused this Warrant to be executed in its name and on its behalf by the facsimile signatures of its duly authorized officers.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18"/>
        <w:gridCol w:w="83"/>
        <w:gridCol w:w="2381"/>
      </w:tblGrid>
      <w:tr>
        <w:trPr/>
        <w:tc>
          <w:tcPr>
            <w:tcW w:w="1618"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ImageneBio, Inc.,</w:t>
            </w:r>
            <w:r>
              <w:rPr/>
              <w:t xml:space="preserve"> as Company</w:t>
            </w:r>
          </w:p>
        </w:tc>
      </w:tr>
      <w:tr>
        <w:trPr>
          <w:trHeight w:val="240" w:hRule="atLeast"/>
        </w:trPr>
        <w:tc>
          <w:tcPr>
            <w:tcW w:w="1618" w:type="dxa"/>
            <w:tcBorders/>
            <w:vAlign w:val="center"/>
          </w:tcPr>
          <w:p>
            <w:pPr>
              <w:pStyle w:val="TableContents"/>
              <w:bidi w:val="0"/>
              <w:spacing w:before="0" w:after="283"/>
              <w:jc w:val="left"/>
              <w:rPr>
                <w:sz w:val="4"/>
                <w:szCs w:val="4"/>
              </w:rPr>
            </w:pPr>
            <w:r>
              <w:rPr>
                <w:sz w:val="4"/>
                <w:szCs w:val="4"/>
              </w:rPr>
            </w:r>
          </w:p>
        </w:tc>
        <w:tc>
          <w:tcPr>
            <w:tcW w:w="2464" w:type="dxa"/>
            <w:gridSpan w:val="2"/>
            <w:tcBorders/>
            <w:vAlign w:val="center"/>
          </w:tcPr>
          <w:p>
            <w:pPr>
              <w:pStyle w:val="TableContents"/>
              <w:bidi w:val="0"/>
              <w:spacing w:before="0" w:after="283"/>
              <w:jc w:val="left"/>
              <w:rPr>
                <w:sz w:val="4"/>
                <w:szCs w:val="4"/>
              </w:rPr>
            </w:pPr>
            <w:r>
              <w:rPr>
                <w:sz w:val="4"/>
                <w:szCs w:val="4"/>
              </w:rPr>
            </w:r>
          </w:p>
        </w:tc>
      </w:tr>
      <w:tr>
        <w:trPr/>
        <w:tc>
          <w:tcPr>
            <w:tcW w:w="1618"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c>
          <w:tcPr>
            <w:tcW w:w="1618" w:type="dxa"/>
            <w:tcBorders/>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c>
          <w:tcPr>
            <w:tcW w:w="1618" w:type="dxa"/>
            <w:tcBorders/>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rHeight w:val="240" w:hRule="atLeast"/>
        </w:trPr>
        <w:tc>
          <w:tcPr>
            <w:tcW w:w="1618" w:type="dxa"/>
            <w:tcBorders/>
            <w:vAlign w:val="center"/>
          </w:tcPr>
          <w:p>
            <w:pPr>
              <w:pStyle w:val="TableContents"/>
              <w:bidi w:val="0"/>
              <w:spacing w:before="0" w:after="283"/>
              <w:jc w:val="left"/>
              <w:rPr>
                <w:sz w:val="4"/>
                <w:szCs w:val="4"/>
              </w:rPr>
            </w:pPr>
            <w:r>
              <w:rPr>
                <w:sz w:val="4"/>
                <w:szCs w:val="4"/>
              </w:rPr>
            </w:r>
          </w:p>
        </w:tc>
        <w:tc>
          <w:tcPr>
            <w:tcW w:w="2464" w:type="dxa"/>
            <w:gridSpan w:val="2"/>
            <w:tcBorders/>
            <w:vAlign w:val="center"/>
          </w:tcPr>
          <w:p>
            <w:pPr>
              <w:pStyle w:val="TableContents"/>
              <w:bidi w:val="0"/>
              <w:spacing w:before="0" w:after="283"/>
              <w:jc w:val="left"/>
              <w:rPr>
                <w:sz w:val="4"/>
                <w:szCs w:val="4"/>
              </w:rPr>
            </w:pPr>
            <w:r>
              <w:rPr>
                <w:sz w:val="4"/>
                <w:szCs w:val="4"/>
              </w:rPr>
            </w:r>
          </w:p>
        </w:tc>
      </w:tr>
      <w:tr>
        <w:trPr/>
        <w:tc>
          <w:tcPr>
            <w:tcW w:w="1618" w:type="dxa"/>
            <w:tcBorders/>
          </w:tcPr>
          <w:p>
            <w:pPr>
              <w:pStyle w:val="TableContents"/>
              <w:bidi w:val="0"/>
              <w:spacing w:before="0" w:after="283"/>
              <w:jc w:val="left"/>
              <w:rPr>
                <w:b/>
              </w:rPr>
            </w:pPr>
            <w:r>
              <w:rPr>
                <w:b/>
              </w:rPr>
              <w:t>A</w:t>
            </w:r>
            <w:r>
              <w:rPr>
                <w:b/>
                <w:sz w:val="20"/>
              </w:rPr>
              <w:t>TTEST</w:t>
            </w:r>
            <w:r>
              <w:rPr>
                <w:b/>
              </w:rPr>
              <w:t>:</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c>
          <w:tcPr>
            <w:tcW w:w="1618"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OUNTERSIGNED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t>
            </w:r>
            <w:r>
              <w:rPr/>
              <w:t>, as Warrant Agent</w:t>
            </w:r>
          </w:p>
        </w:tc>
      </w:tr>
      <w:tr>
        <w:trPr>
          <w:trHeight w:val="240" w:hRule="atLeast"/>
        </w:trPr>
        <w:tc>
          <w:tcPr>
            <w:tcW w:w="1618" w:type="dxa"/>
            <w:tcBorders/>
            <w:vAlign w:val="center"/>
          </w:tcPr>
          <w:p>
            <w:pPr>
              <w:pStyle w:val="TableContents"/>
              <w:bidi w:val="0"/>
              <w:spacing w:before="0" w:after="283"/>
              <w:jc w:val="left"/>
              <w:rPr>
                <w:sz w:val="4"/>
                <w:szCs w:val="4"/>
              </w:rPr>
            </w:pPr>
            <w:r>
              <w:rPr>
                <w:sz w:val="4"/>
                <w:szCs w:val="4"/>
              </w:rPr>
            </w:r>
          </w:p>
        </w:tc>
        <w:tc>
          <w:tcPr>
            <w:tcW w:w="2464" w:type="dxa"/>
            <w:gridSpan w:val="2"/>
            <w:tcBorders/>
            <w:vAlign w:val="center"/>
          </w:tcPr>
          <w:p>
            <w:pPr>
              <w:pStyle w:val="TableContents"/>
              <w:bidi w:val="0"/>
              <w:spacing w:before="0" w:after="283"/>
              <w:jc w:val="left"/>
              <w:rPr>
                <w:sz w:val="4"/>
                <w:szCs w:val="4"/>
              </w:rPr>
            </w:pPr>
            <w:r>
              <w:rPr>
                <w:sz w:val="4"/>
                <w:szCs w:val="4"/>
              </w:rPr>
            </w:r>
          </w:p>
        </w:tc>
      </w:tr>
      <w:tr>
        <w:trPr/>
        <w:tc>
          <w:tcPr>
            <w:tcW w:w="1618"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c>
          <w:tcPr>
            <w:tcW w:w="1618" w:type="dxa"/>
            <w:tcBorders/>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c>
          <w:tcPr>
            <w:tcW w:w="1618" w:type="dxa"/>
            <w:tcBorders/>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rHeight w:val="240" w:hRule="atLeast"/>
        </w:trPr>
        <w:tc>
          <w:tcPr>
            <w:tcW w:w="1618" w:type="dxa"/>
            <w:tcBorders/>
            <w:vAlign w:val="center"/>
          </w:tcPr>
          <w:p>
            <w:pPr>
              <w:pStyle w:val="TableContents"/>
              <w:bidi w:val="0"/>
              <w:spacing w:before="0" w:after="283"/>
              <w:jc w:val="left"/>
              <w:rPr>
                <w:sz w:val="4"/>
                <w:szCs w:val="4"/>
              </w:rPr>
            </w:pPr>
            <w:r>
              <w:rPr>
                <w:sz w:val="4"/>
                <w:szCs w:val="4"/>
              </w:rPr>
            </w:r>
          </w:p>
        </w:tc>
        <w:tc>
          <w:tcPr>
            <w:tcW w:w="2464" w:type="dxa"/>
            <w:gridSpan w:val="2"/>
            <w:tcBorders/>
            <w:vAlign w:val="center"/>
          </w:tcPr>
          <w:p>
            <w:pPr>
              <w:pStyle w:val="TableContents"/>
              <w:bidi w:val="0"/>
              <w:spacing w:before="0" w:after="283"/>
              <w:jc w:val="left"/>
              <w:rPr>
                <w:sz w:val="4"/>
                <w:szCs w:val="4"/>
              </w:rPr>
            </w:pPr>
            <w:r>
              <w:rPr>
                <w:sz w:val="4"/>
                <w:szCs w:val="4"/>
              </w:rPr>
            </w:r>
          </w:p>
        </w:tc>
      </w:tr>
      <w:tr>
        <w:trPr/>
        <w:tc>
          <w:tcPr>
            <w:tcW w:w="1618" w:type="dxa"/>
            <w:tcBorders/>
          </w:tcPr>
          <w:p>
            <w:pPr>
              <w:pStyle w:val="TableContents"/>
              <w:bidi w:val="0"/>
              <w:spacing w:before="0" w:after="283"/>
              <w:jc w:val="left"/>
              <w:rPr>
                <w:b/>
              </w:rPr>
            </w:pPr>
            <w:r>
              <w:rPr>
                <w:b/>
              </w:rPr>
              <w:t>A</w:t>
            </w:r>
            <w:r>
              <w:rPr>
                <w:b/>
                <w:sz w:val="20"/>
              </w:rPr>
              <w:t>TTEST</w:t>
            </w:r>
            <w:r>
              <w:rPr>
                <w:b/>
              </w:rPr>
              <w:t>:</w:t>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r>
        <w:trPr/>
        <w:tc>
          <w:tcPr>
            <w:tcW w:w="1618"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2381"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[REVERSE OF WARRANT CERTIFICATE] </w:t>
      </w:r>
    </w:p>
    <w:p>
      <w:pPr>
        <w:pStyle w:val="TextBody"/>
        <w:bidi w:val="0"/>
        <w:spacing w:before="240" w:after="0"/>
        <w:jc w:val="center"/>
        <w:rPr>
          <w:rFonts w:ascii="Times New Roman" w:hAnsi="Times New Roman"/>
          <w:b/>
          <w:sz w:val="20"/>
        </w:rPr>
      </w:pPr>
      <w:r>
        <w:rPr>
          <w:rFonts w:ascii="Times New Roman" w:hAnsi="Times New Roman"/>
          <w:b/>
          <w:sz w:val="20"/>
        </w:rPr>
        <w:t xml:space="preserve">(Instructions for Exercise of Warrant) </w:t>
      </w:r>
    </w:p>
    <w:p>
      <w:pPr>
        <w:pStyle w:val="TextBody"/>
        <w:bidi w:val="0"/>
        <w:spacing w:before="240" w:after="0"/>
        <w:jc w:val="left"/>
        <w:rPr>
          <w:rFonts w:ascii="Times New Roman" w:hAnsi="Times New Roman"/>
          <w:sz w:val="20"/>
        </w:rPr>
      </w:pPr>
      <w:r>
        <w:rPr>
          <w:rFonts w:ascii="Times New Roman" w:hAnsi="Times New Roman"/>
          <w:sz w:val="20"/>
        </w:rPr>
        <w:t xml:space="preserve">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upon exercise of Warrants) </w:t>
      </w:r>
    </w:p>
    <w:p>
      <w:pPr>
        <w:pStyle w:val="TextBody"/>
        <w:bidi w:val="0"/>
        <w:spacing w:before="240" w:after="0"/>
        <w:jc w:val="left"/>
        <w:rPr>
          <w:rFonts w:ascii="Times New Roman" w:hAnsi="Times New Roman"/>
          <w:sz w:val="20"/>
        </w:rPr>
      </w:pPr>
      <w:r>
        <w:rPr>
          <w:rFonts w:ascii="Times New Roman" w:hAnsi="Times New Roman"/>
          <w:sz w:val="20"/>
        </w:rPr>
        <w:t>The undersigned hereby irrevocably elects to exercise ______ Warrants, evidenced by this Warrant Certificate, to purchase _______ $[] principal amount of the [TITLE OF WARRANT DEBT SECURITIES] (the “</w:t>
      </w:r>
      <w:r>
        <w:rPr>
          <w:rFonts w:ascii="Times New Roman" w:hAnsi="Times New Roman"/>
          <w:b/>
          <w:i/>
          <w:sz w:val="20"/>
        </w:rPr>
        <w:t>Warrant Debt Securities</w:t>
      </w:r>
      <w:r>
        <w:rPr>
          <w:rFonts w:ascii="Times New Roman" w:hAnsi="Times New Roman"/>
          <w:sz w:val="20"/>
        </w:rPr>
        <w:t xml:space="preserve">”), of ImageneBio,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ImageneBio,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1"/>
        <w:gridCol w:w="218"/>
        <w:gridCol w:w="3349"/>
        <w:gridCol w:w="149"/>
        <w:gridCol w:w="1255"/>
        <w:gridCol w:w="149"/>
        <w:gridCol w:w="2634"/>
      </w:tblGrid>
      <w:tr>
        <w:trPr/>
        <w:tc>
          <w:tcPr>
            <w:tcW w:w="2451"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2451" w:type="dxa"/>
            <w:tcBorders/>
          </w:tcPr>
          <w:p>
            <w:pPr>
              <w:pStyle w:val="TableContents"/>
              <w:bidi w:val="0"/>
              <w:spacing w:before="0" w:after="283"/>
              <w:jc w:val="left"/>
              <w:rPr/>
            </w:pPr>
            <w:r>
              <w:rPr/>
              <w:t>Dated:</w:t>
            </w:r>
          </w:p>
        </w:tc>
        <w:tc>
          <w:tcPr>
            <w:tcW w:w="218"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pPr>
            <w:r>
              <w:rPr/>
              <w:t> </w:t>
            </w:r>
          </w:p>
        </w:tc>
        <w:tc>
          <w:tcPr>
            <w:tcW w:w="149" w:type="dxa"/>
            <w:tcBorders/>
            <w:vAlign w:val="bottom"/>
          </w:tcPr>
          <w:p>
            <w:pPr>
              <w:pStyle w:val="TableContents"/>
              <w:bidi w:val="0"/>
              <w:spacing w:before="0" w:after="283"/>
              <w:jc w:val="left"/>
              <w:rPr/>
            </w:pPr>
            <w:r>
              <w:rPr/>
              <w:t>  </w:t>
            </w:r>
          </w:p>
        </w:tc>
        <w:tc>
          <w:tcPr>
            <w:tcW w:w="1255" w:type="dxa"/>
            <w:tcBorders/>
          </w:tcPr>
          <w:p>
            <w:pPr>
              <w:pStyle w:val="TableContents"/>
              <w:bidi w:val="0"/>
              <w:spacing w:before="0" w:after="283"/>
              <w:jc w:val="center"/>
              <w:rPr/>
            </w:pPr>
            <w:r>
              <w:rPr/>
              <w:t>Name:</w:t>
            </w:r>
          </w:p>
        </w:tc>
        <w:tc>
          <w:tcPr>
            <w:tcW w:w="149" w:type="dxa"/>
            <w:tcBorders/>
            <w:vAlign w:val="bottom"/>
          </w:tcPr>
          <w:p>
            <w:pPr>
              <w:pStyle w:val="TableContents"/>
              <w:bidi w:val="0"/>
              <w:spacing w:before="0" w:after="283"/>
              <w:jc w:val="left"/>
              <w:rPr/>
            </w:pPr>
            <w:r>
              <w:rPr/>
              <w:t>  </w:t>
            </w:r>
          </w:p>
        </w:tc>
        <w:tc>
          <w:tcPr>
            <w:tcW w:w="2634" w:type="dxa"/>
            <w:tcBorders/>
          </w:tcPr>
          <w:p>
            <w:pPr>
              <w:pStyle w:val="TableContents"/>
              <w:pBdr>
                <w:bottom w:val="single" w:sz="2" w:space="1" w:color="000000"/>
              </w:pBdr>
              <w:bidi w:val="0"/>
              <w:spacing w:before="0" w:after="20"/>
              <w:jc w:val="left"/>
              <w:rPr/>
            </w:pPr>
            <w:r>
              <w:rPr/>
              <w:t> </w:t>
            </w:r>
          </w:p>
        </w:tc>
      </w:tr>
      <w:tr>
        <w:trPr/>
        <w:tc>
          <w:tcPr>
            <w:tcW w:w="2451"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1255"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2634" w:type="dxa"/>
            <w:tcBorders/>
          </w:tcPr>
          <w:p>
            <w:pPr>
              <w:pStyle w:val="TableContents"/>
              <w:bidi w:val="0"/>
              <w:spacing w:before="0" w:after="283"/>
              <w:jc w:val="center"/>
              <w:rPr/>
            </w:pPr>
            <w:r>
              <w:rPr/>
              <w:t>Please Print</w:t>
            </w:r>
          </w:p>
        </w:tc>
      </w:tr>
      <w:tr>
        <w:trPr/>
        <w:tc>
          <w:tcPr>
            <w:tcW w:w="6018" w:type="dxa"/>
            <w:gridSpan w:val="3"/>
            <w:tcBorders/>
          </w:tcPr>
          <w:p>
            <w:pPr>
              <w:pStyle w:val="TableContents"/>
              <w:bidi w:val="0"/>
              <w:spacing w:before="0" w:after="283"/>
              <w:jc w:val="left"/>
              <w:rPr/>
            </w:pPr>
            <w:r>
              <w:rPr/>
              <w:t>Address:</w:t>
            </w:r>
          </w:p>
        </w:tc>
        <w:tc>
          <w:tcPr>
            <w:tcW w:w="149" w:type="dxa"/>
            <w:tcBorders/>
            <w:vAlign w:val="bottom"/>
          </w:tcPr>
          <w:p>
            <w:pPr>
              <w:pStyle w:val="TableContents"/>
              <w:bidi w:val="0"/>
              <w:spacing w:before="0" w:after="283"/>
              <w:jc w:val="left"/>
              <w:rPr/>
            </w:pPr>
            <w:r>
              <w:rPr/>
              <w:t>  </w:t>
            </w:r>
          </w:p>
        </w:tc>
        <w:tc>
          <w:tcPr>
            <w:tcW w:w="4038"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6018" w:type="dxa"/>
            <w:gridSpan w:val="3"/>
            <w:tcBorders/>
            <w:vAlign w:val="center"/>
          </w:tcPr>
          <w:p>
            <w:pPr>
              <w:pStyle w:val="TableContents"/>
              <w:bidi w:val="0"/>
              <w:spacing w:before="0" w:after="283"/>
              <w:jc w:val="left"/>
              <w:rPr>
                <w:sz w:val="4"/>
                <w:szCs w:val="4"/>
              </w:rPr>
            </w:pPr>
            <w:r>
              <w:rPr>
                <w:sz w:val="4"/>
                <w:szCs w:val="4"/>
              </w:rPr>
            </w:r>
          </w:p>
        </w:tc>
        <w:tc>
          <w:tcPr>
            <w:tcW w:w="4187" w:type="dxa"/>
            <w:gridSpan w:val="4"/>
            <w:tcBorders/>
            <w:vAlign w:val="center"/>
          </w:tcPr>
          <w:p>
            <w:pPr>
              <w:pStyle w:val="TableContents"/>
              <w:bidi w:val="0"/>
              <w:spacing w:before="0" w:after="283"/>
              <w:jc w:val="left"/>
              <w:rPr>
                <w:sz w:val="4"/>
                <w:szCs w:val="4"/>
              </w:rPr>
            </w:pPr>
            <w:r>
              <w:rPr>
                <w:sz w:val="4"/>
                <w:szCs w:val="4"/>
              </w:rPr>
            </w:r>
          </w:p>
        </w:tc>
      </w:tr>
      <w:tr>
        <w:trPr/>
        <w:tc>
          <w:tcPr>
            <w:tcW w:w="6018" w:type="dxa"/>
            <w:gridSpan w:val="3"/>
            <w:tcBorders/>
          </w:tcPr>
          <w:p>
            <w:pPr>
              <w:pStyle w:val="TableContents"/>
              <w:pBdr>
                <w:bottom w:val="single" w:sz="2" w:space="1" w:color="000000"/>
              </w:pBdr>
              <w:bidi w:val="0"/>
              <w:spacing w:before="0" w:after="20"/>
              <w:jc w:val="left"/>
              <w:rPr/>
            </w:pPr>
            <w:r>
              <w:rPr/>
              <w:t> </w:t>
            </w:r>
          </w:p>
        </w:tc>
        <w:tc>
          <w:tcPr>
            <w:tcW w:w="149" w:type="dxa"/>
            <w:tcBorders/>
            <w:vAlign w:val="bottom"/>
          </w:tcPr>
          <w:p>
            <w:pPr>
              <w:pStyle w:val="TableContents"/>
              <w:bidi w:val="0"/>
              <w:spacing w:before="0" w:after="283"/>
              <w:jc w:val="left"/>
              <w:rPr/>
            </w:pPr>
            <w:r>
              <w:rPr/>
              <w:t>  </w:t>
            </w:r>
          </w:p>
        </w:tc>
        <w:tc>
          <w:tcPr>
            <w:tcW w:w="4038" w:type="dxa"/>
            <w:gridSpan w:val="3"/>
            <w:tcBorders/>
          </w:tcPr>
          <w:p>
            <w:pPr>
              <w:pStyle w:val="TableContents"/>
              <w:bidi w:val="0"/>
              <w:spacing w:before="0" w:after="283"/>
              <w:jc w:val="left"/>
              <w:rPr>
                <w:sz w:val="4"/>
                <w:szCs w:val="4"/>
              </w:rPr>
            </w:pPr>
            <w:r>
              <w:rPr>
                <w:sz w:val="4"/>
                <w:szCs w:val="4"/>
              </w:rPr>
            </w:r>
          </w:p>
        </w:tc>
      </w:tr>
      <w:tr>
        <w:trPr/>
        <w:tc>
          <w:tcPr>
            <w:tcW w:w="6018" w:type="dxa"/>
            <w:gridSpan w:val="3"/>
            <w:tcBorders/>
          </w:tcPr>
          <w:p>
            <w:pPr>
              <w:pStyle w:val="TableContents"/>
              <w:bidi w:val="0"/>
              <w:spacing w:before="0" w:after="283"/>
              <w:jc w:val="left"/>
              <w:rPr/>
            </w:pPr>
            <w:r>
              <w:rPr/>
              <w:t>(Insert Social Security or Other Identifying Number of Holder)</w:t>
            </w:r>
          </w:p>
        </w:tc>
        <w:tc>
          <w:tcPr>
            <w:tcW w:w="149" w:type="dxa"/>
            <w:tcBorders/>
            <w:vAlign w:val="bottom"/>
          </w:tcPr>
          <w:p>
            <w:pPr>
              <w:pStyle w:val="TableContents"/>
              <w:bidi w:val="0"/>
              <w:spacing w:before="0" w:after="283"/>
              <w:jc w:val="left"/>
              <w:rPr/>
            </w:pPr>
            <w:r>
              <w:rPr/>
              <w:t>  </w:t>
            </w:r>
          </w:p>
        </w:tc>
        <w:tc>
          <w:tcPr>
            <w:tcW w:w="4038"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6018" w:type="dxa"/>
            <w:gridSpan w:val="3"/>
            <w:tcBorders/>
            <w:vAlign w:val="center"/>
          </w:tcPr>
          <w:p>
            <w:pPr>
              <w:pStyle w:val="TableContents"/>
              <w:bidi w:val="0"/>
              <w:spacing w:before="0" w:after="283"/>
              <w:jc w:val="left"/>
              <w:rPr>
                <w:sz w:val="4"/>
                <w:szCs w:val="4"/>
              </w:rPr>
            </w:pPr>
            <w:r>
              <w:rPr>
                <w:sz w:val="4"/>
                <w:szCs w:val="4"/>
              </w:rPr>
            </w:r>
          </w:p>
        </w:tc>
        <w:tc>
          <w:tcPr>
            <w:tcW w:w="1404" w:type="dxa"/>
            <w:gridSpan w:val="2"/>
            <w:tcBorders/>
            <w:vAlign w:val="center"/>
          </w:tcPr>
          <w:p>
            <w:pPr>
              <w:pStyle w:val="TableContents"/>
              <w:bidi w:val="0"/>
              <w:spacing w:before="0" w:after="283"/>
              <w:jc w:val="left"/>
              <w:rPr>
                <w:sz w:val="4"/>
                <w:szCs w:val="4"/>
              </w:rPr>
            </w:pPr>
            <w:r>
              <w:rPr>
                <w:sz w:val="4"/>
                <w:szCs w:val="4"/>
              </w:rPr>
            </w:r>
          </w:p>
        </w:tc>
        <w:tc>
          <w:tcPr>
            <w:tcW w:w="2783" w:type="dxa"/>
            <w:gridSpan w:val="2"/>
            <w:tcBorders/>
            <w:vAlign w:val="center"/>
          </w:tcPr>
          <w:p>
            <w:pPr>
              <w:pStyle w:val="TableContents"/>
              <w:bidi w:val="0"/>
              <w:spacing w:before="0" w:after="283"/>
              <w:jc w:val="left"/>
              <w:rPr>
                <w:sz w:val="4"/>
                <w:szCs w:val="4"/>
              </w:rPr>
            </w:pPr>
            <w:r>
              <w:rPr>
                <w:sz w:val="4"/>
                <w:szCs w:val="4"/>
              </w:rPr>
            </w:r>
          </w:p>
        </w:tc>
      </w:tr>
      <w:tr>
        <w:trPr/>
        <w:tc>
          <w:tcPr>
            <w:tcW w:w="6018" w:type="dxa"/>
            <w:gridSpan w:val="3"/>
            <w:tcBorders/>
          </w:tcPr>
          <w:p>
            <w:pPr>
              <w:pStyle w:val="TableContents"/>
              <w:bidi w:val="0"/>
              <w:spacing w:before="0" w:after="283"/>
              <w:jc w:val="left"/>
              <w:rPr/>
            </w:pPr>
            <w:r>
              <w:rPr/>
              <w:t xml:space="preserve">Signature Guaranteed: </w:t>
            </w:r>
            <w:r>
              <w:rPr>
                <w:u w:val="single"/>
              </w:rPr>
              <w:t>                </w:t>
            </w:r>
          </w:p>
        </w:tc>
        <w:tc>
          <w:tcPr>
            <w:tcW w:w="149" w:type="dxa"/>
            <w:tcBorders/>
            <w:vAlign w:val="bottom"/>
          </w:tcPr>
          <w:p>
            <w:pPr>
              <w:pStyle w:val="TableContents"/>
              <w:bidi w:val="0"/>
              <w:spacing w:before="0" w:after="283"/>
              <w:jc w:val="left"/>
              <w:rPr/>
            </w:pPr>
            <w:r>
              <w:rPr/>
              <w:t>  </w:t>
            </w:r>
          </w:p>
        </w:tc>
        <w:tc>
          <w:tcPr>
            <w:tcW w:w="1255"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2634" w:type="dxa"/>
            <w:tcBorders/>
          </w:tcPr>
          <w:p>
            <w:pPr>
              <w:pStyle w:val="TableContents"/>
              <w:bidi w:val="0"/>
              <w:spacing w:before="0" w:after="283"/>
              <w:jc w:val="left"/>
              <w:rPr>
                <w:sz w:val="4"/>
                <w:szCs w:val="4"/>
              </w:rPr>
            </w:pPr>
            <w:r>
              <w:rPr>
                <w:sz w:val="4"/>
                <w:szCs w:val="4"/>
              </w:rPr>
            </w:r>
          </w:p>
        </w:tc>
      </w:tr>
      <w:tr>
        <w:trPr/>
        <w:tc>
          <w:tcPr>
            <w:tcW w:w="2451"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center"/>
              <w:rPr/>
            </w:pPr>
            <w:r>
              <w:rPr/>
              <w:t>Signature</w:t>
            </w:r>
          </w:p>
        </w:tc>
        <w:tc>
          <w:tcPr>
            <w:tcW w:w="149" w:type="dxa"/>
            <w:tcBorders/>
            <w:vAlign w:val="bottom"/>
          </w:tcPr>
          <w:p>
            <w:pPr>
              <w:pStyle w:val="TableContents"/>
              <w:bidi w:val="0"/>
              <w:spacing w:before="0" w:after="283"/>
              <w:jc w:val="left"/>
              <w:rPr/>
            </w:pPr>
            <w:r>
              <w:rPr/>
              <w:t>  </w:t>
            </w:r>
          </w:p>
        </w:tc>
        <w:tc>
          <w:tcPr>
            <w:tcW w:w="1255"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263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this Warrant Certificate and must bear a signature guarantee by a FINRA member firm).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Warrant may be exercised at the following addresses: By hand at: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mail at: </w:t>
      </w:r>
    </w:p>
    <w:p>
      <w:pPr>
        <w:pStyle w:val="TextBody"/>
        <w:bidi w:val="0"/>
        <w:spacing w:before="120" w:after="0"/>
        <w:jc w:val="left"/>
        <w:rPr>
          <w:rFonts w:ascii="Times New Roman" w:hAnsi="Times New Roman"/>
          <w:sz w:val="20"/>
        </w:rPr>
      </w:pPr>
      <w:r>
        <w:rPr>
          <w:rFonts w:ascii="Times New Roman" w:hAnsi="Times New Roman"/>
          <w:sz w:val="20"/>
        </w:rPr>
        <w:t xml:space="preserve">[Instructions as to form and delivery of Warrant Debt Securities and, if applicable, Warrant Certificates evidencing Warrants for the number of Warrant Debt Securities remaining unexercised—complete as appropriate.]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to be executed if Warrant Holder desires to transfer Warrant] </w:t>
      </w:r>
    </w:p>
    <w:p>
      <w:pPr>
        <w:pStyle w:val="TextBody"/>
        <w:bidi w:val="0"/>
        <w:spacing w:before="240" w:after="0"/>
        <w:jc w:val="left"/>
        <w:rPr>
          <w:rFonts w:ascii="Times New Roman" w:hAnsi="Times New Roman"/>
          <w:sz w:val="20"/>
        </w:rPr>
      </w:pPr>
      <w:r>
        <w:rPr>
          <w:rFonts w:ascii="Times New Roman" w:hAnsi="Times New Roman"/>
          <w:b/>
          <w:sz w:val="20"/>
        </w:rPr>
        <w:t>FOR VALUE RECEIVED,</w:t>
      </w:r>
      <w:r>
        <w:rPr>
          <w:rFonts w:ascii="Times New Roman" w:hAnsi="Times New Roman"/>
          <w:sz w:val="20"/>
        </w:rPr>
        <w:t xml:space="preserve"> ______________ hereby sells, assigns and transfers unto: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2"/>
        <w:gridCol w:w="623"/>
        <w:gridCol w:w="4270"/>
      </w:tblGrid>
      <w:tr>
        <w:trPr/>
        <w:tc>
          <w:tcPr>
            <w:tcW w:w="5312" w:type="dxa"/>
            <w:tcBorders/>
            <w:vAlign w:val="center"/>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4270" w:type="dxa"/>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pBdr>
                <w:bottom w:val="single" w:sz="2" w:space="1" w:color="000000"/>
              </w:pBdr>
              <w:bidi w:val="0"/>
              <w:spacing w:before="0" w:after="20"/>
              <w:jc w:val="left"/>
              <w:rPr/>
            </w:pPr>
            <w:r>
              <w:rPr/>
              <w:t> </w:t>
            </w:r>
          </w:p>
        </w:tc>
        <w:tc>
          <w:tcPr>
            <w:tcW w:w="623" w:type="dxa"/>
            <w:tcBorders/>
            <w:vAlign w:val="bottom"/>
          </w:tcPr>
          <w:p>
            <w:pPr>
              <w:pStyle w:val="TableContents"/>
              <w:bidi w:val="0"/>
              <w:spacing w:before="0" w:after="283"/>
              <w:jc w:val="left"/>
              <w:rPr/>
            </w:pPr>
            <w:r>
              <w:rPr/>
              <w:t>    </w:t>
            </w:r>
          </w:p>
        </w:tc>
        <w:tc>
          <w:tcPr>
            <w:tcW w:w="4270" w:type="dxa"/>
            <w:tcBorders/>
          </w:tcPr>
          <w:p>
            <w:pPr>
              <w:pStyle w:val="TableContents"/>
              <w:pBdr>
                <w:bottom w:val="single" w:sz="2" w:space="1" w:color="000000"/>
              </w:pBdr>
              <w:bidi w:val="0"/>
              <w:spacing w:before="0" w:after="20"/>
              <w:jc w:val="left"/>
              <w:rPr/>
            </w:pPr>
            <w:r>
              <w:rPr/>
              <w:t> </w:t>
            </w:r>
          </w:p>
        </w:tc>
      </w:tr>
      <w:tr>
        <w:trPr/>
        <w:tc>
          <w:tcPr>
            <w:tcW w:w="5312" w:type="dxa"/>
            <w:tcBorders/>
          </w:tcPr>
          <w:p>
            <w:pPr>
              <w:pStyle w:val="TableContents"/>
              <w:bidi w:val="0"/>
              <w:spacing w:before="0" w:after="283"/>
              <w:jc w:val="left"/>
              <w:rPr/>
            </w:pPr>
            <w:r>
              <w:rPr/>
              <w:t>(Please print name and address including zip code)</w:t>
            </w:r>
          </w:p>
        </w:tc>
        <w:tc>
          <w:tcPr>
            <w:tcW w:w="623" w:type="dxa"/>
            <w:tcBorders/>
            <w:vAlign w:val="bottom"/>
          </w:tcPr>
          <w:p>
            <w:pPr>
              <w:pStyle w:val="TableContents"/>
              <w:bidi w:val="0"/>
              <w:spacing w:before="0" w:after="283"/>
              <w:jc w:val="left"/>
              <w:rPr/>
            </w:pPr>
            <w:r>
              <w:rPr/>
              <w:t>    </w:t>
            </w:r>
          </w:p>
        </w:tc>
        <w:tc>
          <w:tcPr>
            <w:tcW w:w="4270" w:type="dxa"/>
            <w:tcBorders/>
          </w:tcPr>
          <w:p>
            <w:pPr>
              <w:pStyle w:val="TableContents"/>
              <w:bidi w:val="0"/>
              <w:spacing w:before="0" w:after="283"/>
              <w:jc w:val="left"/>
              <w:rPr/>
            </w:pPr>
            <w:r>
              <w:rPr/>
              <w:t>Please print Social Security or other identifying number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right represented by the within Warrant to purchase ________ aggregate principal amount of [Title of Warrant Debt Securities] of ImageneBio, Inc. to which the within Warrant relates and appoints ____________________ attorney to transfer such right on the books of the Warrant Agent with full power of substitution in the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9"/>
        <w:gridCol w:w="109"/>
        <w:gridCol w:w="4078"/>
        <w:gridCol w:w="122"/>
        <w:gridCol w:w="900"/>
        <w:gridCol w:w="122"/>
        <w:gridCol w:w="3975"/>
      </w:tblGrid>
      <w:tr>
        <w:trPr/>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899" w:type="dxa"/>
            <w:tcBorders/>
          </w:tcPr>
          <w:p>
            <w:pPr>
              <w:pStyle w:val="TableContents"/>
              <w:bidi w:val="0"/>
              <w:spacing w:before="0" w:after="283"/>
              <w:jc w:val="left"/>
              <w:rPr/>
            </w:pPr>
            <w:r>
              <w:rPr/>
              <w:t>Dated:</w:t>
            </w:r>
          </w:p>
        </w:tc>
        <w:tc>
          <w:tcPr>
            <w:tcW w:w="109" w:type="dxa"/>
            <w:tcBorders/>
            <w:vAlign w:val="bottom"/>
          </w:tcPr>
          <w:p>
            <w:pPr>
              <w:pStyle w:val="TableContents"/>
              <w:bidi w:val="0"/>
              <w:spacing w:before="0" w:after="283"/>
              <w:jc w:val="left"/>
              <w:rPr/>
            </w:pPr>
            <w:r>
              <w:rPr/>
              <w:t> </w:t>
            </w:r>
          </w:p>
        </w:tc>
        <w:tc>
          <w:tcPr>
            <w:tcW w:w="4078" w:type="dxa"/>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900" w:type="dxa"/>
            <w:tcBorders/>
          </w:tcPr>
          <w:p>
            <w:pPr>
              <w:pStyle w:val="TableContents"/>
              <w:bidi w:val="0"/>
              <w:spacing w:before="0" w:after="283"/>
              <w:jc w:val="center"/>
              <w:rPr/>
            </w:pPr>
            <w:r>
              <w:rPr/>
              <w:t>Name:</w:t>
            </w:r>
          </w:p>
        </w:tc>
        <w:tc>
          <w:tcPr>
            <w:tcW w:w="122" w:type="dxa"/>
            <w:tcBorders/>
            <w:vAlign w:val="bottom"/>
          </w:tcPr>
          <w:p>
            <w:pPr>
              <w:pStyle w:val="TableContents"/>
              <w:bidi w:val="0"/>
              <w:spacing w:before="0" w:after="283"/>
              <w:jc w:val="left"/>
              <w:rPr/>
            </w:pPr>
            <w:r>
              <w:rPr/>
              <w:t>  </w:t>
            </w:r>
          </w:p>
        </w:tc>
        <w:tc>
          <w:tcPr>
            <w:tcW w:w="3975" w:type="dxa"/>
            <w:tcBorders/>
          </w:tcPr>
          <w:p>
            <w:pPr>
              <w:pStyle w:val="TableContents"/>
              <w:pBdr>
                <w:bottom w:val="single" w:sz="2" w:space="1" w:color="000000"/>
              </w:pBdr>
              <w:bidi w:val="0"/>
              <w:spacing w:before="0" w:after="20"/>
              <w:jc w:val="left"/>
              <w:rPr/>
            </w:pPr>
            <w:r>
              <w:rPr/>
              <w:t> </w:t>
            </w:r>
          </w:p>
        </w:tc>
      </w:tr>
      <w:tr>
        <w:trPr/>
        <w:tc>
          <w:tcPr>
            <w:tcW w:w="899"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07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0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975" w:type="dxa"/>
            <w:tcBorders/>
          </w:tcPr>
          <w:p>
            <w:pPr>
              <w:pStyle w:val="TableContents"/>
              <w:bidi w:val="0"/>
              <w:spacing w:before="0" w:after="283"/>
              <w:jc w:val="center"/>
              <w:rPr/>
            </w:pPr>
            <w:r>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 Guaranteed</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37" w:name="d150354dex412.htm"/>
      <w:bookmarkStart w:id="38" w:name="ksd150354dex412"/>
      <w:bookmarkEnd w:id="37"/>
      <w:bookmarkEnd w:id="38"/>
      <w:r>
        <w:rPr>
          <w:rFonts w:ascii="Times New Roman" w:hAnsi="Times New Roman"/>
          <w:b/>
          <w:sz w:val="20"/>
        </w:rPr>
        <w:t xml:space="preserve">Exhibit 4.12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IMAGENEBIO, INC. </w:t>
      </w:r>
    </w:p>
    <w:p>
      <w:pPr>
        <w:pStyle w:val="TextBody"/>
        <w:bidi w:val="0"/>
        <w:spacing w:before="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7"/>
        <w:gridCol w:w="92"/>
        <w:gridCol w:w="8013"/>
        <w:gridCol w:w="148"/>
        <w:gridCol w:w="110"/>
        <w:gridCol w:w="481"/>
        <w:gridCol w:w="64"/>
      </w:tblGrid>
      <w:tr>
        <w:trPr/>
        <w:tc>
          <w:tcPr>
            <w:tcW w:w="1297"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8013"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1" w:type="dxa"/>
            <w:gridSpan w:val="2"/>
            <w:tcBorders/>
            <w:vAlign w:val="bottom"/>
          </w:tcPr>
          <w:p>
            <w:pPr>
              <w:pStyle w:val="TableContents"/>
              <w:bidi w:val="0"/>
              <w:spacing w:before="0" w:after="283"/>
              <w:jc w:val="center"/>
              <w:rPr>
                <w:b/>
              </w:rPr>
            </w:pPr>
            <w:r>
              <w:rPr>
                <w:b/>
              </w:rPr>
              <w:t>P</w:t>
            </w:r>
            <w:r>
              <w:rPr>
                <w:b/>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Definitions of Terms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ISSUE, DESCRIPTION, TERMS, EXECUTION, REGISTRATION AND EXCHANGE OF SECURITIES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Designation and Terms of Securities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Form of Securities and Trustee’s Certificate</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Denominations: Provisions for Payment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Execution and Authentications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Registration of Transfer and Exchange</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Temporary Securities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Mutilated, Destroyed, Lost or Stolen Securities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Cancellation</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Benefits of Indenture</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Authenticating Agent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Global Securities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CUSIP Numbers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REDEMPTION OF SECURITIES AND SINKING FUND PROVISIONS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Redemption</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Notice of Redemption</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Payment Upon Redemption</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Sinking Fund</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Satisfaction of Sinking Fund Payments with Securities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Redemption of Securities for Sinking Fund</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402" w:type="dxa"/>
            <w:gridSpan w:val="3"/>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94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COVENANTS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Payment of Principal, Premium and Interest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Maintenance of Office or Agency</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Paying Agents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297"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c>
          <w:tcPr>
            <w:tcW w:w="803" w:type="dxa"/>
            <w:gridSpan w:val="4"/>
            <w:tcBorders/>
            <w:vAlign w:val="center"/>
          </w:tcPr>
          <w:p>
            <w:pPr>
              <w:pStyle w:val="TableContents"/>
              <w:bidi w:val="0"/>
              <w:spacing w:before="0" w:after="283"/>
              <w:jc w:val="left"/>
              <w:rPr>
                <w:sz w:val="4"/>
                <w:szCs w:val="4"/>
              </w:rPr>
            </w:pPr>
            <w:r>
              <w:rPr>
                <w:sz w:val="4"/>
                <w:szCs w:val="4"/>
              </w:rPr>
            </w:r>
          </w:p>
        </w:tc>
      </w:tr>
      <w:tr>
        <w:trPr/>
        <w:tc>
          <w:tcPr>
            <w:tcW w:w="12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92" w:type="dxa"/>
            <w:tcBorders/>
            <w:vAlign w:val="bottom"/>
          </w:tcPr>
          <w:p>
            <w:pPr>
              <w:pStyle w:val="TableContents"/>
              <w:bidi w:val="0"/>
              <w:spacing w:before="0" w:after="283"/>
              <w:jc w:val="left"/>
              <w:rPr/>
            </w:pPr>
            <w:r>
              <w:rPr/>
              <w:t> </w:t>
            </w:r>
          </w:p>
        </w:tc>
        <w:tc>
          <w:tcPr>
            <w:tcW w:w="8013" w:type="dxa"/>
            <w:tcBorders/>
            <w:vAlign w:val="bottom"/>
          </w:tcPr>
          <w:p>
            <w:pPr>
              <w:pStyle w:val="TableContents"/>
              <w:bidi w:val="0"/>
              <w:spacing w:before="0" w:after="283"/>
              <w:jc w:val="left"/>
              <w:rPr/>
            </w:pPr>
            <w:r>
              <w:rPr/>
              <w:t>Appointment to Fill Vacancy in Office of Trustee</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8"/>
        <w:gridCol w:w="77"/>
        <w:gridCol w:w="8161"/>
        <w:gridCol w:w="135"/>
        <w:gridCol w:w="110"/>
        <w:gridCol w:w="480"/>
        <w:gridCol w:w="64"/>
      </w:tblGrid>
      <w:tr>
        <w:trPr/>
        <w:tc>
          <w:tcPr>
            <w:tcW w:w="117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161"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78"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center"/>
              <w:rPr>
                <w:b/>
              </w:rPr>
            </w:pPr>
            <w:r>
              <w:rPr>
                <w:b/>
              </w:rPr>
              <w:t>P</w:t>
            </w:r>
            <w:r>
              <w:rPr>
                <w:b/>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SECURITYHOLDERS’ LISTS AND REPORTS BY THE COMPANY AND THE TRUSTEE</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Company to Furnish Trustee Names and Addresses of Securityholders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Preservation Of Information; Communications With Securityholders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Reports by the Company</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Reports by the Trustee</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REMEDIES OF THE TRUSTEE AND SECURITYHOLDERS ON EVENT OF DEFAULT</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Events of Default</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Collection of Indebtedness and Suits for Enforcement by Trustee</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Application of Moneys Collected</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Limitation on Suits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Rights and Remedies Cumulative; Delay or Omission Not Waiver</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Control by Securityholders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Undertaking to Pay Costs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416" w:type="dxa"/>
            <w:gridSpan w:val="3"/>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941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Certain Duties and Responsibilities of Trustee</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Certain Rights of Trustee</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Trustee Not Responsible for Recitals or Issuance or Securities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May Hold Securities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Moneys Held in Trust</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Compensation and Reimbursement</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Reliance on Officer’s Certificate</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Disqualification; Conflicting Interests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Corporate Trustee Required; Eligibility</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Resignation and Removal; Appointment of Successor</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Acceptance of Appointment By Successor</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1178" w:type="dxa"/>
            <w:tcBorders/>
            <w:vAlign w:val="center"/>
          </w:tcPr>
          <w:p>
            <w:pPr>
              <w:pStyle w:val="TableContents"/>
              <w:bidi w:val="0"/>
              <w:spacing w:before="0" w:after="283"/>
              <w:jc w:val="left"/>
              <w:rPr>
                <w:sz w:val="4"/>
                <w:szCs w:val="4"/>
              </w:rPr>
            </w:pPr>
            <w:r>
              <w:rPr>
                <w:sz w:val="4"/>
                <w:szCs w:val="4"/>
              </w:rPr>
            </w:r>
          </w:p>
        </w:tc>
        <w:tc>
          <w:tcPr>
            <w:tcW w:w="8238" w:type="dxa"/>
            <w:gridSpan w:val="2"/>
            <w:tcBorders/>
            <w:vAlign w:val="center"/>
          </w:tcPr>
          <w:p>
            <w:pPr>
              <w:pStyle w:val="TableContents"/>
              <w:bidi w:val="0"/>
              <w:spacing w:before="0" w:after="283"/>
              <w:jc w:val="left"/>
              <w:rPr>
                <w:sz w:val="4"/>
                <w:szCs w:val="4"/>
              </w:rPr>
            </w:pPr>
            <w:r>
              <w:rPr>
                <w:sz w:val="4"/>
                <w:szCs w:val="4"/>
              </w:rPr>
            </w:r>
          </w:p>
        </w:tc>
        <w:tc>
          <w:tcPr>
            <w:tcW w:w="789" w:type="dxa"/>
            <w:gridSpan w:val="4"/>
            <w:tcBorders/>
            <w:vAlign w:val="center"/>
          </w:tcPr>
          <w:p>
            <w:pPr>
              <w:pStyle w:val="TableContents"/>
              <w:bidi w:val="0"/>
              <w:spacing w:before="0" w:after="283"/>
              <w:jc w:val="left"/>
              <w:rPr>
                <w:sz w:val="4"/>
                <w:szCs w:val="4"/>
              </w:rPr>
            </w:pPr>
            <w:r>
              <w:rPr>
                <w:sz w:val="4"/>
                <w:szCs w:val="4"/>
              </w:rPr>
            </w:r>
          </w:p>
        </w:tc>
      </w:tr>
      <w:tr>
        <w:trPr/>
        <w:tc>
          <w:tcPr>
            <w:tcW w:w="1178"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77" w:type="dxa"/>
            <w:tcBorders/>
            <w:vAlign w:val="bottom"/>
          </w:tcPr>
          <w:p>
            <w:pPr>
              <w:pStyle w:val="TableContents"/>
              <w:bidi w:val="0"/>
              <w:spacing w:before="0" w:after="283"/>
              <w:jc w:val="left"/>
              <w:rPr/>
            </w:pPr>
            <w:r>
              <w:rPr/>
              <w:t> </w:t>
            </w:r>
          </w:p>
        </w:tc>
        <w:tc>
          <w:tcPr>
            <w:tcW w:w="8161" w:type="dxa"/>
            <w:tcBorders/>
            <w:vAlign w:val="bottom"/>
          </w:tcPr>
          <w:p>
            <w:pPr>
              <w:pStyle w:val="TableContents"/>
              <w:bidi w:val="0"/>
              <w:spacing w:before="0" w:after="283"/>
              <w:jc w:val="left"/>
              <w:rPr/>
            </w:pPr>
            <w:r>
              <w:rPr/>
              <w:t>Merger, Conversion, Consolidation or Succession to Business</w:t>
            </w:r>
          </w:p>
        </w:tc>
        <w:tc>
          <w:tcPr>
            <w:tcW w:w="13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36"/>
        <w:gridCol w:w="81"/>
        <w:gridCol w:w="7994"/>
        <w:gridCol w:w="139"/>
        <w:gridCol w:w="110"/>
        <w:gridCol w:w="481"/>
        <w:gridCol w:w="64"/>
      </w:tblGrid>
      <w:tr>
        <w:trPr/>
        <w:tc>
          <w:tcPr>
            <w:tcW w:w="133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799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33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91" w:type="dxa"/>
            <w:gridSpan w:val="2"/>
            <w:tcBorders/>
            <w:vAlign w:val="bottom"/>
          </w:tcPr>
          <w:p>
            <w:pPr>
              <w:pStyle w:val="TableContents"/>
              <w:bidi w:val="0"/>
              <w:spacing w:before="0" w:after="283"/>
              <w:jc w:val="center"/>
              <w:rPr>
                <w:b/>
              </w:rPr>
            </w:pPr>
            <w:r>
              <w:rPr>
                <w:b/>
              </w:rPr>
              <w:t>P</w:t>
            </w:r>
            <w:r>
              <w:rPr>
                <w:b/>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Preferential Collection of Claims Against the Company</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Notice of Default.</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9411" w:type="dxa"/>
            <w:gridSpan w:val="3"/>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CONCERNING THE SECURITYHOLDERS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Evidence of Action by Securityholders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Proof of Execution by Securityholders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Who May be Deemed Owners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Certain Securities Owned by Company Disregarded</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Actions Binding on Future Securityholders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9411" w:type="dxa"/>
            <w:gridSpan w:val="3"/>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SUPPLEMENTAL INDENTURES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Supplemental Indentures Without the Consent of Securityholders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Supplemental Indentures With Consent of Securityholders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Effect of Supplemental Indentures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Securities Affected by Supplemental Indentures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Execution of Supplemental Indentures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9411" w:type="dxa"/>
            <w:gridSpan w:val="3"/>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SUCCESSOR ENTITY</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Company May Consolidate, Etc.</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Successor Entity Substituted</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411" w:type="dxa"/>
            <w:gridSpan w:val="3"/>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SATISFACTION AND DISCHARGE</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Satisfaction and Discharge of Indenture</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Discharge of Obligations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Deposited Moneys to be Held in Trust</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Payment of Moneys Held by Paying Agents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Repayment to Company</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9411" w:type="dxa"/>
            <w:gridSpan w:val="3"/>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IMMUNITY OF INCORPORATORS, STOCKHOLDERS, OFFICERS AND DIRECTORS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No Recourse</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9411" w:type="dxa"/>
            <w:gridSpan w:val="3"/>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MISCELLANEOUS PROVISIONS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Effect on Successors and Assigns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Actions by Successor</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336" w:type="dxa"/>
            <w:tcBorders/>
            <w:vAlign w:val="center"/>
          </w:tcPr>
          <w:p>
            <w:pPr>
              <w:pStyle w:val="TableContents"/>
              <w:bidi w:val="0"/>
              <w:spacing w:before="0" w:after="283"/>
              <w:jc w:val="left"/>
              <w:rPr>
                <w:sz w:val="4"/>
                <w:szCs w:val="4"/>
              </w:rPr>
            </w:pPr>
            <w:r>
              <w:rPr>
                <w:sz w:val="4"/>
                <w:szCs w:val="4"/>
              </w:rPr>
            </w:r>
          </w:p>
        </w:tc>
        <w:tc>
          <w:tcPr>
            <w:tcW w:w="8075" w:type="dxa"/>
            <w:gridSpan w:val="2"/>
            <w:tcBorders/>
            <w:vAlign w:val="center"/>
          </w:tcPr>
          <w:p>
            <w:pPr>
              <w:pStyle w:val="TableContents"/>
              <w:bidi w:val="0"/>
              <w:spacing w:before="0" w:after="283"/>
              <w:jc w:val="left"/>
              <w:rPr>
                <w:sz w:val="4"/>
                <w:szCs w:val="4"/>
              </w:rPr>
            </w:pPr>
            <w:r>
              <w:rPr>
                <w:sz w:val="4"/>
                <w:szCs w:val="4"/>
              </w:rPr>
            </w:r>
          </w:p>
        </w:tc>
        <w:tc>
          <w:tcPr>
            <w:tcW w:w="794" w:type="dxa"/>
            <w:gridSpan w:val="4"/>
            <w:tcBorders/>
            <w:vAlign w:val="center"/>
          </w:tcPr>
          <w:p>
            <w:pPr>
              <w:pStyle w:val="TableContents"/>
              <w:bidi w:val="0"/>
              <w:spacing w:before="0" w:after="283"/>
              <w:jc w:val="left"/>
              <w:rPr>
                <w:sz w:val="4"/>
                <w:szCs w:val="4"/>
              </w:rPr>
            </w:pPr>
            <w:r>
              <w:rPr>
                <w:sz w:val="4"/>
                <w:szCs w:val="4"/>
              </w:rPr>
            </w:r>
          </w:p>
        </w:tc>
      </w:tr>
      <w:tr>
        <w:trPr/>
        <w:tc>
          <w:tcPr>
            <w:tcW w:w="133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81" w:type="dxa"/>
            <w:tcBorders/>
            <w:vAlign w:val="bottom"/>
          </w:tcPr>
          <w:p>
            <w:pPr>
              <w:pStyle w:val="TableContents"/>
              <w:bidi w:val="0"/>
              <w:spacing w:before="0" w:after="283"/>
              <w:jc w:val="left"/>
              <w:rPr/>
            </w:pPr>
            <w:r>
              <w:rPr/>
              <w:t> </w:t>
            </w:r>
          </w:p>
        </w:tc>
        <w:tc>
          <w:tcPr>
            <w:tcW w:w="7994" w:type="dxa"/>
            <w:tcBorders/>
            <w:vAlign w:val="bottom"/>
          </w:tcPr>
          <w:p>
            <w:pPr>
              <w:pStyle w:val="TableContents"/>
              <w:bidi w:val="0"/>
              <w:spacing w:before="0" w:after="283"/>
              <w:jc w:val="left"/>
              <w:rPr/>
            </w:pPr>
            <w:r>
              <w:rPr/>
              <w:t>Surrender of Company Powers</w:t>
            </w:r>
          </w:p>
        </w:tc>
        <w:tc>
          <w:tcPr>
            <w:tcW w:w="13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5"/>
        <w:gridCol w:w="93"/>
        <w:gridCol w:w="7875"/>
        <w:gridCol w:w="148"/>
        <w:gridCol w:w="110"/>
        <w:gridCol w:w="481"/>
        <w:gridCol w:w="63"/>
      </w:tblGrid>
      <w:tr>
        <w:trPr/>
        <w:tc>
          <w:tcPr>
            <w:tcW w:w="143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787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3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1" w:type="dxa"/>
            <w:gridSpan w:val="2"/>
            <w:tcBorders/>
            <w:vAlign w:val="bottom"/>
          </w:tcPr>
          <w:p>
            <w:pPr>
              <w:pStyle w:val="TableContents"/>
              <w:bidi w:val="0"/>
              <w:spacing w:before="0" w:after="283"/>
              <w:jc w:val="center"/>
              <w:rPr>
                <w:b/>
              </w:rPr>
            </w:pPr>
            <w:r>
              <w:rPr>
                <w:b/>
              </w:rPr>
              <w:t>P</w:t>
            </w:r>
            <w:r>
              <w:rPr>
                <w:b/>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Notices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Governing Law; Jury Trial Waiver</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Treatment of Securities as Debt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Certificates and Opinions as to Conditions Precedent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Payments on Business Days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Conflict with Trust Indenture Act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Counterparts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Separability</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Compliance Certificates</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13.13</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Patriot Act</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435" w:type="dxa"/>
            <w:tcBorders/>
            <w:vAlign w:val="center"/>
          </w:tcPr>
          <w:p>
            <w:pPr>
              <w:pStyle w:val="TableContents"/>
              <w:bidi w:val="0"/>
              <w:spacing w:before="0" w:after="283"/>
              <w:jc w:val="left"/>
              <w:rPr>
                <w:sz w:val="4"/>
                <w:szCs w:val="4"/>
              </w:rPr>
            </w:pPr>
            <w:r>
              <w:rPr>
                <w:sz w:val="4"/>
                <w:szCs w:val="4"/>
              </w:rPr>
            </w:r>
          </w:p>
        </w:tc>
        <w:tc>
          <w:tcPr>
            <w:tcW w:w="7968" w:type="dxa"/>
            <w:gridSpan w:val="2"/>
            <w:tcBorders/>
            <w:vAlign w:val="center"/>
          </w:tcPr>
          <w:p>
            <w:pPr>
              <w:pStyle w:val="TableContents"/>
              <w:bidi w:val="0"/>
              <w:spacing w:before="0" w:after="283"/>
              <w:jc w:val="left"/>
              <w:rPr>
                <w:sz w:val="4"/>
                <w:szCs w:val="4"/>
              </w:rPr>
            </w:pPr>
            <w:r>
              <w:rPr>
                <w:sz w:val="4"/>
                <w:szCs w:val="4"/>
              </w:rPr>
            </w:r>
          </w:p>
        </w:tc>
        <w:tc>
          <w:tcPr>
            <w:tcW w:w="802" w:type="dxa"/>
            <w:gridSpan w:val="4"/>
            <w:tcBorders/>
            <w:vAlign w:val="center"/>
          </w:tcPr>
          <w:p>
            <w:pPr>
              <w:pStyle w:val="TableContents"/>
              <w:bidi w:val="0"/>
              <w:spacing w:before="0" w:after="283"/>
              <w:jc w:val="left"/>
              <w:rPr>
                <w:sz w:val="4"/>
                <w:szCs w:val="4"/>
              </w:rPr>
            </w:pPr>
            <w:r>
              <w:rPr>
                <w:sz w:val="4"/>
                <w:szCs w:val="4"/>
              </w:rPr>
            </w:r>
          </w:p>
        </w:tc>
      </w:tr>
      <w:tr>
        <w:trPr/>
        <w:tc>
          <w:tcPr>
            <w:tcW w:w="1435" w:type="dxa"/>
            <w:tcBorders/>
          </w:tcPr>
          <w:p>
            <w:pPr>
              <w:pStyle w:val="TableContents"/>
              <w:bidi w:val="0"/>
              <w:spacing w:before="0" w:after="0"/>
              <w:jc w:val="left"/>
              <w:rPr>
                <w:rFonts w:ascii="Times New Roman" w:hAnsi="Times New Roman"/>
                <w:sz w:val="20"/>
              </w:rPr>
            </w:pPr>
            <w:r>
              <w:rPr>
                <w:rFonts w:ascii="Times New Roman" w:hAnsi="Times New Roman"/>
                <w:sz w:val="20"/>
              </w:rPr>
              <w:t>Section 13.14</w:t>
            </w:r>
          </w:p>
        </w:tc>
        <w:tc>
          <w:tcPr>
            <w:tcW w:w="93" w:type="dxa"/>
            <w:tcBorders/>
            <w:vAlign w:val="bottom"/>
          </w:tcPr>
          <w:p>
            <w:pPr>
              <w:pStyle w:val="TableContents"/>
              <w:bidi w:val="0"/>
              <w:spacing w:before="0" w:after="283"/>
              <w:jc w:val="left"/>
              <w:rPr/>
            </w:pPr>
            <w:r>
              <w:rPr/>
              <w:t> </w:t>
            </w:r>
          </w:p>
        </w:tc>
        <w:tc>
          <w:tcPr>
            <w:tcW w:w="7875" w:type="dxa"/>
            <w:tcBorders/>
            <w:vAlign w:val="bottom"/>
          </w:tcPr>
          <w:p>
            <w:pPr>
              <w:pStyle w:val="TableContents"/>
              <w:bidi w:val="0"/>
              <w:spacing w:before="0" w:after="283"/>
              <w:jc w:val="left"/>
              <w:rPr/>
            </w:pPr>
            <w:r>
              <w:rPr/>
              <w:t>Force Majeure</w:t>
            </w:r>
          </w:p>
        </w:tc>
        <w:tc>
          <w:tcPr>
            <w:tcW w:w="148"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 20__, among ImageneBio, Inc., a Delaware corporation (the “Company”), and[</w:t>
      </w:r>
      <w:r>
        <w:rPr>
          <w:rFonts w:ascii="Times New Roman" w:hAnsi="Times New Roman"/>
          <w:b/>
          <w:sz w:val="20"/>
        </w:rPr>
        <w:t>TRUSTEE</w:t>
      </w:r>
      <w:r>
        <w:rPr>
          <w:rFonts w:ascii="Times New Roman" w:hAnsi="Times New Roman"/>
          <w:sz w:val="20"/>
        </w:rPr>
        <w:t xml:space="preserve">], as trustee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Definitions of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b/>
          <w:i/>
          <w:sz w:val="20"/>
        </w:rPr>
        <w:t>Authenticating Agent</w:t>
      </w:r>
      <w:r>
        <w:rPr>
          <w:rFonts w:ascii="Times New Roman" w:hAnsi="Times New Roman"/>
          <w:sz w:val="20"/>
        </w:rPr>
        <w:t xml:space="preserve">” means the Trustee or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b/>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(or duly authorized committee thereof) and to be in full force and effect on the date of such certification.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means ImageneBio, Inc., a corporation duly organized and existing under the laws of the State of Delaware, and, subject to the provisions of Article Ten, shall also include its successors and assigns. </w:t>
      </w:r>
    </w:p>
    <w:p>
      <w:pPr>
        <w:pStyle w:val="TextBody"/>
        <w:bidi w:val="0"/>
        <w:spacing w:before="240" w:after="0"/>
        <w:jc w:val="left"/>
        <w:rPr/>
      </w:pPr>
      <w:r>
        <w:rPr/>
        <w:t>“</w:t>
      </w:r>
      <w:r>
        <w:rPr>
          <w:rFonts w:ascii="Times New Roman" w:hAnsi="Times New Roman"/>
          <w:b/>
          <w:i/>
          <w:sz w:val="20"/>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pPr>
      <w:r>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given</w:t>
      </w:r>
      <w:r>
        <w:rPr>
          <w:rFonts w:ascii="Times New Roman" w:hAnsi="Times New Roman"/>
          <w:sz w:val="20"/>
        </w:rPr>
        <w:t>”, “</w:t>
      </w:r>
      <w:r>
        <w:rPr>
          <w:rFonts w:ascii="Times New Roman" w:hAnsi="Times New Roman"/>
          <w:b/>
          <w:i/>
          <w:sz w:val="20"/>
        </w:rPr>
        <w:t>mailed</w:t>
      </w:r>
      <w:r>
        <w:rPr>
          <w:rFonts w:ascii="Times New Roman" w:hAnsi="Times New Roman"/>
          <w:sz w:val="20"/>
        </w:rPr>
        <w:t>”, “</w:t>
      </w:r>
      <w:r>
        <w:rPr>
          <w:rFonts w:ascii="Times New Roman" w:hAnsi="Times New Roman"/>
          <w:b/>
          <w:i/>
          <w:sz w:val="20"/>
        </w:rPr>
        <w:t>notify</w:t>
      </w:r>
      <w:r>
        <w:rPr>
          <w:rFonts w:ascii="Times New Roman" w:hAnsi="Times New Roman"/>
          <w:sz w:val="20"/>
        </w:rPr>
        <w:t>” or “</w:t>
      </w:r>
      <w:r>
        <w:rPr>
          <w:rFonts w:ascii="Times New Roman" w:hAnsi="Times New Roman"/>
          <w:b/>
          <w:i/>
          <w:sz w:val="20"/>
        </w:rPr>
        <w:t>sent</w:t>
      </w:r>
      <w:r>
        <w:rPr>
          <w:rFonts w:ascii="Times New Roman" w:hAnsi="Times New Roman"/>
          <w:sz w:val="20"/>
        </w:rPr>
        <w:t xml:space="preserve">”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pPr>
      <w:r>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pPr>
      <w:r>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pPr>
      <w:r>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pPr>
      <w:r>
        <w:rPr/>
        <w:t>“</w:t>
      </w:r>
      <w:r>
        <w:rPr>
          <w:rFonts w:ascii="Times New Roman" w:hAnsi="Times New Roman"/>
          <w:b/>
          <w:i/>
          <w:sz w:val="20"/>
        </w:rPr>
        <w:t>Trustee</w:t>
      </w:r>
      <w:r>
        <w:rPr>
          <w:rFonts w:ascii="Times New Roman" w:hAnsi="Times New Roman"/>
          <w:sz w:val="20"/>
        </w:rPr>
        <w:t xml:space="preserve">” 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240" w:after="0"/>
        <w:jc w:val="left"/>
        <w:rPr/>
      </w:pPr>
      <w:r>
        <w:rPr/>
        <w:t>“</w:t>
      </w:r>
      <w:r>
        <w:rPr>
          <w:rFonts w:ascii="Times New Roman" w:hAnsi="Times New Roman"/>
          <w:b/>
          <w:i/>
          <w:sz w:val="20"/>
        </w:rPr>
        <w:t>U.S.A. Patriot Act”</w:t>
      </w:r>
      <w:r>
        <w:rPr>
          <w:rFonts w:ascii="Times New Roman" w:hAnsi="Times New Roman"/>
          <w:sz w:val="20"/>
        </w:rPr>
        <w:t xml:space="preserve"> means the Uniting and Strengthening America by Providing Appropriate Tools Required to Intercept and Obstruct Terrorism Act of 2001, Pub. L. 107-56, as amended and signed into law October 26, 2001.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ISSUE, DESCRIPTION, TERMS, EXECUTION, REGISTRATION AND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2.01</w:t>
      </w:r>
      <w:r>
        <w:rPr>
          <w:rFonts w:ascii="Times New Roman" w:hAnsi="Times New Roman"/>
          <w:sz w:val="20"/>
        </w:rPr>
        <w:t xml:space="preserve"> </w:t>
      </w:r>
      <w:r>
        <w:rPr>
          <w:rFonts w:ascii="Times New Roman" w:hAnsi="Times New Roman"/>
          <w:b/>
          <w:sz w:val="20"/>
        </w:rPr>
        <w:t>Designation and Terms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title of the Securities of the series (which shall distinguish the Securities of that series from all other Securities);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maturity date or dates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form of the Securities of the series including the form of the certificate of authentication for such series;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the applicability of any guarantees;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whether or not the Securities will be secured or unsecured, and the terms of any secured debt; </w:t>
      </w:r>
    </w:p>
    <w:p>
      <w:pPr>
        <w:pStyle w:val="TextBody"/>
        <w:bidi w:val="0"/>
        <w:spacing w:before="12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whether the Securities rank as senior debt, senior subordinated debt, subordinated debt or any combination thereof, and the terms of any subordination; </w:t>
      </w:r>
    </w:p>
    <w:p>
      <w:pPr>
        <w:pStyle w:val="TextBody"/>
        <w:bidi w:val="0"/>
        <w:spacing w:before="12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the Company’s right, if any, to defer the payment of interest and the maximum length of any such deferral period;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12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the denominations in which the Securities of the series shall be issuable, if other than denominations of one thousand U.S. dollars ($1,000) or any integral multiple thereof; </w:t>
      </w:r>
    </w:p>
    <w:p>
      <w:pPr>
        <w:pStyle w:val="TextBody"/>
        <w:bidi w:val="0"/>
        <w:spacing w:before="12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12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12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12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additions to or changes in the covenants applicable to the series of Securities being issued, including, among others, the consolidation, merger or sale covenant; </w:t>
      </w:r>
    </w:p>
    <w:p>
      <w:pPr>
        <w:pStyle w:val="TextBody"/>
        <w:bidi w:val="0"/>
        <w:spacing w:before="12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12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additions to or changes in or deletions of the provisions relating to covenant defeasance and legal defeasance;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additions to or changes in the provisions relating to satisfaction and discharge of this Indenture; </w:t>
      </w:r>
    </w:p>
    <w:p>
      <w:pPr>
        <w:pStyle w:val="TextBody"/>
        <w:bidi w:val="0"/>
        <w:spacing w:before="12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additions to or changes in the provisions relating to the modification of this Indenture both with and without the consent of Securityholders of Securities issued under this Indenture; </w:t>
      </w:r>
    </w:p>
    <w:p>
      <w:pPr>
        <w:pStyle w:val="TextBody"/>
        <w:bidi w:val="0"/>
        <w:spacing w:before="12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the currency of payment of Securities if other than U.S. dollars and the manner of determining the equivalent amount in U.S. dollars; </w:t>
      </w:r>
    </w:p>
    <w:p>
      <w:pPr>
        <w:pStyle w:val="TextBody"/>
        <w:bidi w:val="0"/>
        <w:spacing w:before="12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whether interest will be payable in cash or additional Securities at the Company’s or the Securityholders’ option and the terms and conditions upon which the election may be made; </w:t>
      </w:r>
    </w:p>
    <w:p>
      <w:pPr>
        <w:pStyle w:val="TextBody"/>
        <w:bidi w:val="0"/>
        <w:spacing w:before="12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any restrictions on transfer, sale or assignment of the Securities of the series; and </w:t>
      </w:r>
    </w:p>
    <w:p>
      <w:pPr>
        <w:pStyle w:val="TextBody"/>
        <w:bidi w:val="0"/>
        <w:spacing w:before="12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any other specific terms, preferences, rights or limitations of, or restrictions on, the Securities, any other additions or changes in the provisions of this Indenture, and any terms that may be required by us or advisable under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2.02</w:t>
      </w:r>
      <w:r>
        <w:rPr>
          <w:rFonts w:ascii="Times New Roman" w:hAnsi="Times New Roman"/>
          <w:sz w:val="20"/>
        </w:rPr>
        <w:t xml:space="preserve"> </w:t>
      </w:r>
      <w:r>
        <w:rPr>
          <w:rFonts w:ascii="Times New Roman" w:hAnsi="Times New Roman"/>
          <w:b/>
          <w:sz w:val="20"/>
        </w:rPr>
        <w:t>Form of Securities and Trustee</w:t>
      </w:r>
      <w:r>
        <w:rPr>
          <w:rFonts w:ascii="Times New Roman" w:hAnsi="Times New Roman"/>
          <w:sz w:val="20"/>
        </w:rPr>
        <w:t>’</w:t>
      </w:r>
      <w:r>
        <w:rPr>
          <w:rFonts w:ascii="Times New Roman" w:hAnsi="Times New Roman"/>
          <w:b/>
          <w:sz w:val="20"/>
        </w:rPr>
        <w:t>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w:t>
      </w:r>
      <w:r>
        <w:rPr>
          <w:rFonts w:ascii="Times New Roman" w:hAnsi="Times New Roman"/>
          <w:sz w:val="20"/>
        </w:rPr>
        <w:t xml:space="preserve"> </w:t>
      </w:r>
      <w:r>
        <w:rPr>
          <w:rFonts w:ascii="Times New Roman" w:hAnsi="Times New Roman"/>
          <w:b/>
          <w:sz w:val="20"/>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xml:space="preserve"> </w:t>
      </w:r>
      <w:r>
        <w:rPr>
          <w:rFonts w:ascii="Times New Roman" w:hAnsi="Times New Roman"/>
          <w:b/>
          <w:sz w:val="20"/>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2.05</w:t>
      </w:r>
      <w:r>
        <w:rPr>
          <w:rFonts w:ascii="Times New Roman" w:hAnsi="Times New Roman"/>
          <w:sz w:val="20"/>
        </w:rPr>
        <w:t xml:space="preserve"> </w:t>
      </w:r>
      <w:r>
        <w:rPr>
          <w:rFonts w:ascii="Times New Roman" w:hAnsi="Times New Roman"/>
          <w:b/>
          <w:sz w:val="20"/>
        </w:rPr>
        <w:t>Registration of Transfer and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Security Registrar for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2.06</w:t>
      </w:r>
      <w:r>
        <w:rPr>
          <w:rFonts w:ascii="Times New Roman" w:hAnsi="Times New Roman"/>
          <w:sz w:val="20"/>
        </w:rPr>
        <w:t xml:space="preserve"> </w:t>
      </w:r>
      <w:r>
        <w:rPr>
          <w:rFonts w:ascii="Times New Roman" w:hAnsi="Times New Roman"/>
          <w:b/>
          <w:sz w:val="20"/>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2.07</w:t>
      </w:r>
      <w:r>
        <w:rPr>
          <w:rFonts w:ascii="Times New Roman" w:hAnsi="Times New Roman"/>
          <w:sz w:val="20"/>
        </w:rPr>
        <w:t xml:space="preserve"> </w:t>
      </w:r>
      <w:r>
        <w:rPr>
          <w:rFonts w:ascii="Times New Roman" w:hAnsi="Times New Roman"/>
          <w:b/>
          <w:sz w:val="20"/>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2.08</w:t>
      </w:r>
      <w:r>
        <w:rPr>
          <w:rFonts w:ascii="Times New Roman" w:hAnsi="Times New Roman"/>
          <w:sz w:val="20"/>
        </w:rPr>
        <w:t xml:space="preserve"> </w:t>
      </w:r>
      <w:r>
        <w:rPr>
          <w:rFonts w:ascii="Times New Roman" w:hAnsi="Times New Roman"/>
          <w:b/>
          <w:sz w:val="20"/>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2.09</w:t>
      </w:r>
      <w:r>
        <w:rPr>
          <w:rFonts w:ascii="Times New Roman" w:hAnsi="Times New Roman"/>
          <w:sz w:val="20"/>
        </w:rPr>
        <w:t xml:space="preserve"> </w:t>
      </w:r>
      <w:r>
        <w:rPr>
          <w:rFonts w:ascii="Times New Roman" w:hAnsi="Times New Roman"/>
          <w:b/>
          <w:sz w:val="20"/>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rPr>
        <w:t>Global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r>
        <w:rPr>
          <w:rFonts w:ascii="Times New Roman" w:hAnsi="Times New Roman"/>
          <w:b/>
          <w:sz w:val="20"/>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3.01</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rPr>
        <w:t>Notice of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less than all the Securities of a series are to be redeemed, the Company shall give the Trustee at least 45 days’ notice (unless a shorter notice shall be satisfactory to the Trustee) in advance of the date fixed for redemption as to the aggregate principal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3.03</w:t>
      </w:r>
      <w:r>
        <w:rPr>
          <w:rFonts w:ascii="Times New Roman" w:hAnsi="Times New Roman"/>
          <w:sz w:val="20"/>
        </w:rPr>
        <w:t xml:space="preserve"> </w:t>
      </w:r>
      <w:r>
        <w:rPr>
          <w:rFonts w:ascii="Times New Roman" w:hAnsi="Times New Roman"/>
          <w:b/>
          <w:sz w:val="20"/>
        </w:rPr>
        <w:t>Payment Upon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3.04</w:t>
      </w:r>
      <w:r>
        <w:rPr>
          <w:rFonts w:ascii="Times New Roman" w:hAnsi="Times New Roman"/>
          <w:sz w:val="20"/>
        </w:rPr>
        <w:t xml:space="preserve"> </w:t>
      </w:r>
      <w:r>
        <w:rPr>
          <w:rFonts w:ascii="Times New Roman" w:hAnsi="Times New Roman"/>
          <w:b/>
          <w:sz w:val="20"/>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3.05</w:t>
      </w:r>
      <w:r>
        <w:rPr>
          <w:rFonts w:ascii="Times New Roman" w:hAnsi="Times New Roman"/>
          <w:sz w:val="20"/>
        </w:rPr>
        <w:t xml:space="preserve"> </w:t>
      </w:r>
      <w:r>
        <w:rPr>
          <w:rFonts w:ascii="Times New Roman" w:hAnsi="Times New Roman"/>
          <w:b/>
          <w:sz w:val="20"/>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3.06</w:t>
      </w:r>
      <w:r>
        <w:rPr>
          <w:rFonts w:ascii="Times New Roman" w:hAnsi="Times New Roman"/>
          <w:sz w:val="20"/>
        </w:rPr>
        <w:t xml:space="preserve"> </w:t>
      </w:r>
      <w:r>
        <w:rPr>
          <w:rFonts w:ascii="Times New Roman" w:hAnsi="Times New Roman"/>
          <w:b/>
          <w:sz w:val="20"/>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4.01</w:t>
      </w:r>
      <w:r>
        <w:rPr>
          <w:rFonts w:ascii="Times New Roman" w:hAnsi="Times New Roman"/>
          <w:sz w:val="20"/>
        </w:rPr>
        <w:t xml:space="preserve"> </w:t>
      </w:r>
      <w:r>
        <w:rPr>
          <w:rFonts w:ascii="Times New Roman" w:hAnsi="Times New Roman"/>
          <w:b/>
          <w:sz w:val="20"/>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4.03</w:t>
      </w:r>
      <w:r>
        <w:rPr>
          <w:rFonts w:ascii="Times New Roman" w:hAnsi="Times New Roman"/>
          <w:sz w:val="20"/>
        </w:rPr>
        <w:t xml:space="preserve"> </w:t>
      </w:r>
      <w:r>
        <w:rPr>
          <w:rFonts w:ascii="Times New Roman" w:hAnsi="Times New Roman"/>
          <w:b/>
          <w:sz w:val="20"/>
        </w:rPr>
        <w:t>Paying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it will perform all other duties of paying agent as set forth in this Indenture.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4.04</w:t>
      </w:r>
      <w:r>
        <w:rPr>
          <w:rFonts w:ascii="Times New Roman" w:hAnsi="Times New Roman"/>
          <w:sz w:val="20"/>
        </w:rPr>
        <w:t xml:space="preserve"> </w:t>
      </w:r>
      <w:r>
        <w:rPr>
          <w:rFonts w:ascii="Times New Roman" w:hAnsi="Times New Roman"/>
          <w:b/>
          <w:sz w:val="20"/>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b/>
          <w:sz w:val="20"/>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5.02</w:t>
      </w:r>
      <w:r>
        <w:rPr>
          <w:rFonts w:ascii="Times New Roman" w:hAnsi="Times New Roman"/>
          <w:sz w:val="20"/>
        </w:rPr>
        <w:t xml:space="preserve"> </w:t>
      </w:r>
      <w:r>
        <w:rPr>
          <w:rFonts w:ascii="Times New Roman" w:hAnsi="Times New Roman"/>
          <w:b/>
          <w:sz w:val="20"/>
        </w:rPr>
        <w:t>Preservation Of Information; Communications With Securityholders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may destroy any list furnished to it as provided in Section 5.01 upon receipt of a new list so furnished.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5.03</w:t>
      </w:r>
      <w:r>
        <w:rPr>
          <w:rFonts w:ascii="Times New Roman" w:hAnsi="Times New Roman"/>
          <w:sz w:val="20"/>
        </w:rPr>
        <w:t xml:space="preserve"> </w:t>
      </w:r>
      <w:r>
        <w:rPr>
          <w:rFonts w:ascii="Times New Roman" w:hAnsi="Times New Roman"/>
          <w:b/>
          <w:sz w:val="20"/>
        </w:rPr>
        <w:t>Reports by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5.04</w:t>
      </w:r>
      <w:r>
        <w:rPr>
          <w:rFonts w:ascii="Times New Roman" w:hAnsi="Times New Roman"/>
          <w:sz w:val="20"/>
        </w:rPr>
        <w:t xml:space="preserve"> </w:t>
      </w:r>
      <w:r>
        <w:rPr>
          <w:rFonts w:ascii="Times New Roman" w:hAnsi="Times New Roman"/>
          <w:b/>
          <w:sz w:val="20"/>
        </w:rPr>
        <w:t>Reports by the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required by Section 313(a) of the Trust Indenture Act, the Trustee, within sixty (60) days after each May 1, shall send to the Securityholders a brief report dated as of such May 1, which complies with Section 313(a) of the Trust Indenture Act.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shall comply with Section 313(b) and 313(c) of the Trust Indenture Act.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6.01</w:t>
      </w:r>
      <w:r>
        <w:rPr>
          <w:rFonts w:ascii="Times New Roman" w:hAnsi="Times New Roman"/>
          <w:sz w:val="20"/>
        </w:rPr>
        <w:t xml:space="preserve"> </w:t>
      </w:r>
      <w:r>
        <w:rPr>
          <w:rFonts w:ascii="Times New Roman" w:hAnsi="Times New Roman"/>
          <w:b/>
          <w:sz w:val="20"/>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rPr>
        <w:t>Collection of Indebtedness and Suits for Enforcement by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costs and expenses of collection and of all amounts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rPr>
        <w:t>Rights and Remedies Cumulative; Delay or Omission Not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6.06</w:t>
      </w:r>
      <w:r>
        <w:rPr>
          <w:rFonts w:ascii="Times New Roman" w:hAnsi="Times New Roman"/>
          <w:sz w:val="20"/>
        </w:rPr>
        <w:t xml:space="preserve"> </w:t>
      </w:r>
      <w:r>
        <w:rPr>
          <w:rFonts w:ascii="Times New Roman" w:hAnsi="Times New Roman"/>
          <w:b/>
          <w:sz w:val="20"/>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7.01</w:t>
      </w:r>
      <w:r>
        <w:rPr>
          <w:rFonts w:ascii="Times New Roman" w:hAnsi="Times New Roman"/>
          <w:sz w:val="20"/>
        </w:rPr>
        <w:t xml:space="preserve"> </w:t>
      </w:r>
      <w:r>
        <w:rPr>
          <w:rFonts w:ascii="Times New Roman" w:hAnsi="Times New Roman"/>
          <w:b/>
          <w:sz w:val="20"/>
        </w:rPr>
        <w:t>Certain Duties and Responsibilities of 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12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12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The Trustee shall not be required to give any bond or surety in respect of the performance of its powers or duties hereunder; </w:t>
      </w:r>
    </w:p>
    <w:p>
      <w:pPr>
        <w:pStyle w:val="TextBody"/>
        <w:bidi w:val="0"/>
        <w:spacing w:before="12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The permissive right of the Trustee to do things enumerated in this Indenture shall not be construed as a duty of the Trustee; and </w:t>
      </w:r>
    </w:p>
    <w:p>
      <w:pPr>
        <w:pStyle w:val="TextBody"/>
        <w:bidi w:val="0"/>
        <w:spacing w:before="12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No Trustee shall have any duty or responsibility for any act or omission of any other Trustee appointed with respect to a series of Securities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7.02</w:t>
      </w:r>
      <w:r>
        <w:rPr>
          <w:rFonts w:ascii="Times New Roman" w:hAnsi="Times New Roman"/>
          <w:sz w:val="20"/>
        </w:rPr>
        <w:t xml:space="preserve"> </w:t>
      </w:r>
      <w:r>
        <w:rPr>
          <w:rFonts w:ascii="Times New Roman" w:hAnsi="Times New Roman"/>
          <w:b/>
          <w:sz w:val="20"/>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 </w:t>
      </w:r>
    </w:p>
    <w:p>
      <w:pPr>
        <w:pStyle w:val="TextBody"/>
        <w:bidi w:val="0"/>
        <w:spacing w:before="12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7.03</w:t>
      </w:r>
      <w:r>
        <w:rPr>
          <w:rFonts w:ascii="Times New Roman" w:hAnsi="Times New Roman"/>
          <w:sz w:val="20"/>
        </w:rPr>
        <w:t xml:space="preserve"> </w:t>
      </w:r>
      <w:r>
        <w:rPr>
          <w:rFonts w:ascii="Times New Roman" w:hAnsi="Times New Roman"/>
          <w:b/>
          <w:sz w:val="20"/>
        </w:rPr>
        <w:t>Trustee Not Responsible for Recitals or Issuance 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makes no representations as to the validity or sufficiency of this Indenture or of the Securities.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7.04</w:t>
      </w:r>
      <w:r>
        <w:rPr>
          <w:rFonts w:ascii="Times New Roman" w:hAnsi="Times New Roman"/>
          <w:sz w:val="20"/>
        </w:rPr>
        <w:t xml:space="preserve"> </w:t>
      </w:r>
      <w:r>
        <w:rPr>
          <w:rFonts w:ascii="Times New Roman" w:hAnsi="Times New Roman"/>
          <w:b/>
          <w:sz w:val="20"/>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w:t>
      </w:r>
      <w:r>
        <w:rPr>
          <w:rFonts w:ascii="Times New Roman" w:hAnsi="Times New Roman"/>
          <w:sz w:val="20"/>
        </w:rPr>
        <w:t xml:space="preserve"> </w:t>
      </w:r>
      <w:r>
        <w:rPr>
          <w:rFonts w:ascii="Times New Roman" w:hAnsi="Times New Roman"/>
          <w:b/>
          <w:sz w:val="20"/>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7.06</w:t>
      </w:r>
      <w:r>
        <w:rPr>
          <w:rFonts w:ascii="Times New Roman" w:hAnsi="Times New Roman"/>
          <w:sz w:val="20"/>
        </w:rPr>
        <w:t xml:space="preserve"> </w:t>
      </w:r>
      <w:r>
        <w:rPr>
          <w:rFonts w:ascii="Times New Roman" w:hAnsi="Times New Roman"/>
          <w:b/>
          <w:sz w:val="20"/>
        </w:rPr>
        <w:t>Compensation and 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need not reimburse any expense or indemnify against any loss or liability incurred by the Trustee or by any officer, director, employee, shareholder or agent of the Trustee through negligence or bad faith.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7.07</w:t>
      </w:r>
      <w:r>
        <w:rPr>
          <w:rFonts w:ascii="Times New Roman" w:hAnsi="Times New Roman"/>
          <w:sz w:val="20"/>
        </w:rPr>
        <w:t xml:space="preserve"> </w:t>
      </w:r>
      <w:r>
        <w:rPr>
          <w:rFonts w:ascii="Times New Roman" w:hAnsi="Times New Roman"/>
          <w:b/>
          <w:sz w:val="20"/>
        </w:rPr>
        <w:t>Reliance on Officer</w:t>
      </w:r>
      <w:r>
        <w:rPr>
          <w:rFonts w:ascii="Times New Roman" w:hAnsi="Times New Roman"/>
          <w:sz w:val="20"/>
        </w:rPr>
        <w:t>’</w:t>
      </w:r>
      <w:r>
        <w:rPr>
          <w:rFonts w:ascii="Times New Roman" w:hAnsi="Times New Roman"/>
          <w:b/>
          <w:sz w:val="20"/>
        </w:rPr>
        <w:t>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7.08</w:t>
      </w:r>
      <w:r>
        <w:rPr>
          <w:rFonts w:ascii="Times New Roman" w:hAnsi="Times New Roman"/>
          <w:sz w:val="20"/>
        </w:rPr>
        <w:t xml:space="preserve"> </w:t>
      </w:r>
      <w:r>
        <w:rPr>
          <w:rFonts w:ascii="Times New Roman" w:hAnsi="Times New Roman"/>
          <w:b/>
          <w:sz w:val="20"/>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7.09</w:t>
      </w:r>
      <w:r>
        <w:rPr>
          <w:rFonts w:ascii="Times New Roman" w:hAnsi="Times New Roman"/>
          <w:sz w:val="20"/>
        </w:rPr>
        <w:t xml:space="preserve"> </w:t>
      </w:r>
      <w:r>
        <w:rPr>
          <w:rFonts w:ascii="Times New Roman" w:hAnsi="Times New Roman"/>
          <w:b/>
          <w:sz w:val="20"/>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xml:space="preserve"> </w:t>
      </w:r>
      <w:r>
        <w:rPr>
          <w:rFonts w:ascii="Times New Roman" w:hAnsi="Times New Roman"/>
          <w:b/>
          <w:sz w:val="20"/>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cease to be eligible in accordance with the provisions of Section 7.09 and shall fail to resign after written request therefor by the Company or by any such Securityholder; or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xml:space="preserve"> </w:t>
      </w:r>
      <w:r>
        <w:rPr>
          <w:rFonts w:ascii="Times New Roman" w:hAnsi="Times New Roman"/>
          <w:b/>
          <w:sz w:val="20"/>
        </w:rPr>
        <w:t>Acceptance of Appointment By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No successor trustee shall accept its appointment unless at the time of such acceptance such successor trustee shall be qualified and eligible under this Article.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xml:space="preserve"> </w:t>
      </w:r>
      <w:r>
        <w:rPr>
          <w:rFonts w:ascii="Times New Roman" w:hAnsi="Times New Roman"/>
          <w:b/>
          <w:sz w:val="20"/>
        </w:rPr>
        <w:t>Merger, Conversion, Consolidation or Succession to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xml:space="preserve"> </w:t>
      </w:r>
      <w:r>
        <w:rPr>
          <w:rFonts w:ascii="Times New Roman" w:hAnsi="Times New Roman"/>
          <w:b/>
          <w:sz w:val="20"/>
        </w:rPr>
        <w:t>Preferential Collection of Claims Against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xml:space="preserve"> </w:t>
      </w:r>
      <w:r>
        <w:rPr>
          <w:rFonts w:ascii="Times New Roman" w:hAnsi="Times New Roman"/>
          <w:b/>
          <w:sz w:val="20"/>
        </w:rPr>
        <w:t>Notice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hAnsi="Times New Roman"/>
          <w:i/>
          <w:sz w:val="20"/>
        </w:rPr>
        <w:t>provided, 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t>
      </w:r>
      <w:r>
        <w:rPr>
          <w:rFonts w:ascii="Times New Roman" w:hAnsi="Times New Roman"/>
          <w:b/>
          <w:sz w:val="20"/>
        </w:rPr>
        <w:t>Evidence of Action by Securityholders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w:t>
      </w:r>
      <w:r>
        <w:rPr>
          <w:rFonts w:ascii="Times New Roman" w:hAnsi="Times New Roman"/>
          <w:b/>
          <w:sz w:val="20"/>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fact and date of the execution by any such Person of any instrument may be proved in any reasonable manner acceptable to the Trustee.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8.03</w:t>
      </w:r>
      <w:r>
        <w:rPr>
          <w:rFonts w:ascii="Times New Roman" w:hAnsi="Times New Roman"/>
          <w:sz w:val="20"/>
        </w:rPr>
        <w:t xml:space="preserve"> </w:t>
      </w:r>
      <w:r>
        <w:rPr>
          <w:rFonts w:ascii="Times New Roman" w:hAnsi="Times New Roman"/>
          <w:b/>
          <w:sz w:val="20"/>
        </w:rPr>
        <w:t>Who May be Deemed Owners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8.04</w:t>
      </w:r>
      <w:r>
        <w:rPr>
          <w:rFonts w:ascii="Times New Roman" w:hAnsi="Times New Roman"/>
          <w:sz w:val="20"/>
        </w:rPr>
        <w:t xml:space="preserve"> </w:t>
      </w:r>
      <w:r>
        <w:rPr>
          <w:rFonts w:ascii="Times New Roman" w:hAnsi="Times New Roman"/>
          <w:b/>
          <w:sz w:val="20"/>
        </w:rPr>
        <w:t>Certain Securities Owned by Company Disregarded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8.05</w:t>
      </w:r>
      <w:r>
        <w:rPr>
          <w:rFonts w:ascii="Times New Roman" w:hAnsi="Times New Roman"/>
          <w:sz w:val="20"/>
        </w:rPr>
        <w:t xml:space="preserve"> </w:t>
      </w:r>
      <w:r>
        <w:rPr>
          <w:rFonts w:ascii="Times New Roman" w:hAnsi="Times New Roman"/>
          <w:b/>
          <w:sz w:val="20"/>
        </w:rPr>
        <w:t>Actions Binding on Future Securityholders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r>
        <w:rPr>
          <w:rFonts w:ascii="Times New Roman" w:hAnsi="Times New Roman"/>
          <w:b/>
          <w:sz w:val="20"/>
        </w:rPr>
        <w:t>Supplemental Indentures Without the Consent of Securityholders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cure any ambiguity, defect, or inconsistency herein or in the Securities of any series;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comply with Article Ten;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to provide for uncertificated Securities in addition to or in place of certificated Securities;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to add to, delete from, or revise the conditions, limitations, and restrictions on the authorized amount, terms, or purposes of issue, authentication, and delivery of Securities, as herein set forth;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to make any change that does not adversely affect the rights of any Securityholder in any material respect;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12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to evidence and provide for the acceptance of appointment hereunder by a successor trustee; or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comply with any requirements of the Commission or any successor in connection with the qualification of this Indenture under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9.02</w:t>
      </w:r>
      <w:r>
        <w:rPr>
          <w:rFonts w:ascii="Times New Roman" w:hAnsi="Times New Roman"/>
          <w:sz w:val="20"/>
        </w:rPr>
        <w:t xml:space="preserve"> </w:t>
      </w:r>
      <w:r>
        <w:rPr>
          <w:rFonts w:ascii="Times New Roman" w:hAnsi="Times New Roman"/>
          <w:b/>
          <w:sz w:val="20"/>
        </w:rPr>
        <w:t>Supplemental Indentures With Consent of Securityholders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r>
        <w:rPr>
          <w:rFonts w:ascii="Times New Roman" w:hAnsi="Times New Roman"/>
          <w:b/>
          <w:sz w:val="20"/>
        </w:rPr>
        <w:t>Effect of Supplemental Indentures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t>
      </w:r>
      <w:r>
        <w:rPr>
          <w:rFonts w:ascii="Times New Roman" w:hAnsi="Times New Roman"/>
          <w:b/>
          <w:sz w:val="20"/>
        </w:rPr>
        <w:t>Securities Affected by Supplemental Indentures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xml:space="preserve"> </w:t>
      </w:r>
      <w:r>
        <w:rPr>
          <w:rFonts w:ascii="Times New Roman" w:hAnsi="Times New Roman"/>
          <w:b/>
          <w:sz w:val="20"/>
        </w:rPr>
        <w:t>Execution of Supplemental Indentures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Company May Consolidate, Etc. </w:t>
      </w:r>
    </w:p>
    <w:p>
      <w:pPr>
        <w:pStyle w:val="TextBody"/>
        <w:bidi w:val="0"/>
        <w:spacing w:before="120" w:after="0"/>
        <w:jc w:val="left"/>
        <w:rPr>
          <w:rFonts w:ascii="Times New Roman" w:hAnsi="Times New Roman"/>
          <w:sz w:val="20"/>
        </w:rPr>
      </w:pPr>
      <w:r>
        <w:rPr>
          <w:rFonts w:ascii="Times New Roman" w:hAnsi="Times New Roman"/>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10.02</w:t>
      </w:r>
      <w:r>
        <w:rPr>
          <w:rFonts w:ascii="Times New Roman" w:hAnsi="Times New Roman"/>
          <w:sz w:val="20"/>
        </w:rPr>
        <w:t xml:space="preserve"> </w:t>
      </w:r>
      <w:r>
        <w:rPr>
          <w:rFonts w:ascii="Times New Roman" w:hAnsi="Times New Roman"/>
          <w:b/>
          <w:sz w:val="20"/>
        </w:rPr>
        <w:t>Successor Entity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t>
      </w:r>
      <w:r>
        <w:rPr>
          <w:rFonts w:ascii="Times New Roman" w:hAnsi="Times New Roman"/>
          <w:b/>
          <w:sz w:val="20"/>
        </w:rPr>
        <w:t>Satisfaction and Discharge of Indenture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w:t>
      </w:r>
      <w:r>
        <w:rPr>
          <w:rFonts w:ascii="Times New Roman" w:hAnsi="Times New Roman"/>
          <w:b/>
          <w:sz w:val="20"/>
        </w:rPr>
        <w:t>Discharge of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11.03</w:t>
      </w:r>
      <w:r>
        <w:rPr>
          <w:rFonts w:ascii="Times New Roman" w:hAnsi="Times New Roman"/>
          <w:sz w:val="20"/>
        </w:rPr>
        <w:t xml:space="preserve"> </w:t>
      </w:r>
      <w:r>
        <w:rPr>
          <w:rFonts w:ascii="Times New Roman" w:hAnsi="Times New Roman"/>
          <w:b/>
          <w:sz w:val="20"/>
        </w:rPr>
        <w:t>Deposited Moneys to be Held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11.04</w:t>
      </w:r>
      <w:r>
        <w:rPr>
          <w:rFonts w:ascii="Times New Roman" w:hAnsi="Times New Roman"/>
          <w:sz w:val="20"/>
        </w:rPr>
        <w:t xml:space="preserve"> </w:t>
      </w:r>
      <w:r>
        <w:rPr>
          <w:rFonts w:ascii="Times New Roman" w:hAnsi="Times New Roman"/>
          <w:b/>
          <w:sz w:val="20"/>
        </w:rPr>
        <w:t>Payment of Moneys Held by Paying Agents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11.05</w:t>
      </w:r>
      <w:r>
        <w:rPr>
          <w:rFonts w:ascii="Times New Roman" w:hAnsi="Times New Roman"/>
          <w:sz w:val="20"/>
        </w:rPr>
        <w:t xml:space="preserve"> </w:t>
      </w:r>
      <w:r>
        <w:rPr>
          <w:rFonts w:ascii="Times New Roman" w:hAnsi="Times New Roman"/>
          <w:b/>
          <w:sz w:val="20"/>
        </w:rPr>
        <w:t>Repayment to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12.01</w:t>
      </w:r>
      <w:r>
        <w:rPr>
          <w:rFonts w:ascii="Times New Roman" w:hAnsi="Times New Roman"/>
          <w:sz w:val="20"/>
        </w:rPr>
        <w:t xml:space="preserve"> </w:t>
      </w:r>
      <w:r>
        <w:rPr>
          <w:rFonts w:ascii="Times New Roman" w:hAnsi="Times New Roman"/>
          <w:b/>
          <w:sz w:val="20"/>
        </w:rPr>
        <w:t>No Recourse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t>
      </w:r>
      <w:r>
        <w:rPr>
          <w:rFonts w:ascii="Times New Roman" w:hAnsi="Times New Roman"/>
          <w:b/>
          <w:sz w:val="20"/>
        </w:rPr>
        <w:t>Effect on 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13.02</w:t>
      </w:r>
      <w:r>
        <w:rPr>
          <w:rFonts w:ascii="Times New Roman" w:hAnsi="Times New Roman"/>
          <w:sz w:val="20"/>
        </w:rPr>
        <w:t xml:space="preserve"> </w:t>
      </w:r>
      <w:r>
        <w:rPr>
          <w:rFonts w:ascii="Times New Roman" w:hAnsi="Times New Roman"/>
          <w:b/>
          <w:sz w:val="20"/>
        </w:rPr>
        <w:t>Actions by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13.03</w:t>
      </w:r>
      <w:r>
        <w:rPr>
          <w:rFonts w:ascii="Times New Roman" w:hAnsi="Times New Roman"/>
          <w:sz w:val="20"/>
        </w:rPr>
        <w:t xml:space="preserve"> </w:t>
      </w:r>
      <w:r>
        <w:rPr>
          <w:rFonts w:ascii="Times New Roman" w:hAnsi="Times New Roman"/>
          <w:b/>
          <w:sz w:val="20"/>
        </w:rPr>
        <w:t>Surrender of Company Powers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13.04</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r>
        <w:rPr>
          <w:rFonts w:ascii="Times New Roman" w:hAnsi="Times New Roman"/>
          <w:sz w:val="20"/>
          <w:u w:val="single"/>
        </w:rPr>
        <w:t>               </w:t>
      </w:r>
      <w:r>
        <w:rPr>
          <w:rFonts w:ascii="Times New Roman" w:hAnsi="Times New Roman"/>
          <w:sz w:val="20"/>
        </w:rPr>
        <w:t xml:space="preserve">.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13.05</w:t>
      </w:r>
      <w:r>
        <w:rPr>
          <w:rFonts w:ascii="Times New Roman" w:hAnsi="Times New Roman"/>
          <w:sz w:val="20"/>
        </w:rPr>
        <w:t xml:space="preserve"> </w:t>
      </w:r>
      <w:r>
        <w:rPr>
          <w:rFonts w:ascii="Times New Roman" w:hAnsi="Times New Roman"/>
          <w:b/>
          <w:sz w:val="20"/>
        </w:rPr>
        <w:t>Governing Law; Jury Trial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and each Security shall be governed by, and construed in accordance with, the internal laws of the State of New York,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13.06</w:t>
      </w:r>
      <w:r>
        <w:rPr>
          <w:rFonts w:ascii="Times New Roman" w:hAnsi="Times New Roman"/>
          <w:sz w:val="20"/>
        </w:rPr>
        <w:t xml:space="preserve"> </w:t>
      </w:r>
      <w:r>
        <w:rPr>
          <w:rFonts w:ascii="Times New Roman" w:hAnsi="Times New Roman"/>
          <w:b/>
          <w:sz w:val="20"/>
        </w:rPr>
        <w:t>Treatment of Securities as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13.07</w:t>
      </w:r>
      <w:r>
        <w:rPr>
          <w:rFonts w:ascii="Times New Roman" w:hAnsi="Times New Roman"/>
          <w:sz w:val="20"/>
        </w:rPr>
        <w:t xml:space="preserve"> </w:t>
      </w:r>
      <w:r>
        <w:rPr>
          <w:rFonts w:ascii="Times New Roman" w:hAnsi="Times New Roman"/>
          <w:b/>
          <w:sz w:val="20"/>
        </w:rPr>
        <w:t>Certificates and Opinions as to Conditions Precedent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13.08</w:t>
      </w:r>
      <w:r>
        <w:rPr>
          <w:rFonts w:ascii="Times New Roman" w:hAnsi="Times New Roman"/>
          <w:sz w:val="20"/>
        </w:rPr>
        <w:t xml:space="preserve"> </w:t>
      </w:r>
      <w:r>
        <w:rPr>
          <w:rFonts w:ascii="Times New Roman" w:hAnsi="Times New Roman"/>
          <w:b/>
          <w:sz w:val="20"/>
        </w:rPr>
        <w:t>Payments on Business Days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13.09</w:t>
      </w:r>
      <w:r>
        <w:rPr>
          <w:rFonts w:ascii="Times New Roman" w:hAnsi="Times New Roman"/>
          <w:sz w:val="20"/>
        </w:rPr>
        <w:t xml:space="preserve"> </w:t>
      </w:r>
      <w:r>
        <w:rPr>
          <w:rFonts w:ascii="Times New Roman" w:hAnsi="Times New Roman"/>
          <w:b/>
          <w:sz w:val="20"/>
        </w:rPr>
        <w:t>Conflict with Trust Indenture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 318(c)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13.10</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13.11</w:t>
      </w:r>
      <w:r>
        <w:rPr>
          <w:rFonts w:ascii="Times New Roman" w:hAnsi="Times New Roman"/>
          <w:sz w:val="20"/>
        </w:rPr>
        <w:t xml:space="preserve"> </w:t>
      </w:r>
      <w:r>
        <w:rPr>
          <w:rFonts w:ascii="Times New Roman" w:hAnsi="Times New Roman"/>
          <w:b/>
          <w:sz w:val="20"/>
        </w:rPr>
        <w:t>Separability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13.12</w:t>
      </w:r>
      <w:r>
        <w:rPr>
          <w:rFonts w:ascii="Times New Roman" w:hAnsi="Times New Roman"/>
          <w:sz w:val="20"/>
        </w:rPr>
        <w:t xml:space="preserve"> </w:t>
      </w:r>
      <w:r>
        <w:rPr>
          <w:rFonts w:ascii="Times New Roman" w:hAnsi="Times New Roman"/>
          <w:b/>
          <w:sz w:val="20"/>
        </w:rPr>
        <w:t>Compliance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13.13</w:t>
      </w:r>
      <w:r>
        <w:rPr>
          <w:rFonts w:ascii="Times New Roman" w:hAnsi="Times New Roman"/>
          <w:sz w:val="20"/>
        </w:rPr>
        <w:t xml:space="preserve"> </w:t>
      </w:r>
      <w:r>
        <w:rPr>
          <w:rFonts w:ascii="Times New Roman" w:hAnsi="Times New Roman"/>
          <w:b/>
          <w:sz w:val="20"/>
        </w:rPr>
        <w:t>U.S.A Patriot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13.14</w:t>
      </w:r>
      <w:r>
        <w:rPr>
          <w:rFonts w:ascii="Times New Roman" w:hAnsi="Times New Roman"/>
          <w:sz w:val="20"/>
        </w:rPr>
        <w:t xml:space="preserve"> </w:t>
      </w:r>
      <w:r>
        <w:rPr>
          <w:rFonts w:ascii="Times New Roman" w:hAnsi="Times New Roman"/>
          <w:b/>
          <w:sz w:val="20"/>
        </w:rPr>
        <w:t>Force Majeure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13.15 Table of Contents; Headings. </w:t>
      </w:r>
    </w:p>
    <w:p>
      <w:pPr>
        <w:pStyle w:val="TextBody"/>
        <w:bidi w:val="0"/>
        <w:spacing w:before="12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intended to be considered a part hereof, and will not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72"/>
        <w:gridCol w:w="122"/>
        <w:gridCol w:w="2688"/>
      </w:tblGrid>
      <w:tr>
        <w:trPr/>
        <w:tc>
          <w:tcPr>
            <w:tcW w:w="127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w:t>
            </w:r>
            <w:r>
              <w:rPr>
                <w:b/>
                <w:sz w:val="20"/>
              </w:rPr>
              <w:t>MAGENE</w:t>
            </w:r>
            <w:r>
              <w:rPr>
                <w:b/>
              </w:rPr>
              <w:t>B</w:t>
            </w:r>
            <w:r>
              <w:rPr>
                <w:b/>
                <w:sz w:val="20"/>
              </w:rPr>
              <w:t>IO</w:t>
            </w:r>
            <w:r>
              <w:rPr>
                <w:b/>
              </w:rPr>
              <w:t>, I</w:t>
            </w:r>
            <w:r>
              <w:rPr>
                <w:b/>
                <w:sz w:val="20"/>
              </w:rPr>
              <w:t>NC</w:t>
            </w:r>
            <w:r>
              <w:rPr>
                <w:b/>
              </w:rPr>
              <w:t>.</w:t>
            </w:r>
          </w:p>
        </w:tc>
      </w:tr>
      <w:tr>
        <w:trPr>
          <w:trHeight w:val="240" w:hRule="atLeast"/>
        </w:trPr>
        <w:tc>
          <w:tcPr>
            <w:tcW w:w="1272" w:type="dxa"/>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r>
      <w:tr>
        <w:trPr/>
        <w:tc>
          <w:tcPr>
            <w:tcW w:w="1272" w:type="dxa"/>
            <w:tcBorders/>
          </w:tcPr>
          <w:p>
            <w:pPr>
              <w:pStyle w:val="TableContents"/>
              <w:bidi w:val="0"/>
              <w:spacing w:before="0" w:after="283"/>
              <w:jc w:val="left"/>
              <w:rPr/>
            </w:pPr>
            <w:r>
              <w:rPr/>
              <w:t>By:</w:t>
            </w:r>
          </w:p>
        </w:tc>
        <w:tc>
          <w:tcPr>
            <w:tcW w:w="122" w:type="dxa"/>
            <w:tcBorders/>
            <w:vAlign w:val="bottom"/>
          </w:tcPr>
          <w:p>
            <w:pPr>
              <w:pStyle w:val="TableContents"/>
              <w:bidi w:val="0"/>
              <w:spacing w:before="0" w:after="283"/>
              <w:jc w:val="left"/>
              <w:rPr/>
            </w:pPr>
            <w:r>
              <w:rPr/>
              <w:t> </w:t>
            </w:r>
          </w:p>
        </w:tc>
        <w:tc>
          <w:tcPr>
            <w:tcW w:w="2688" w:type="dxa"/>
            <w:tcBorders/>
          </w:tcPr>
          <w:p>
            <w:pPr>
              <w:pStyle w:val="TableContents"/>
              <w:pBdr>
                <w:bottom w:val="single" w:sz="2" w:space="1" w:color="000000"/>
              </w:pBdr>
              <w:bidi w:val="0"/>
              <w:spacing w:before="0" w:after="20"/>
              <w:jc w:val="left"/>
              <w:rPr/>
            </w:pPr>
            <w:r>
              <w:rPr/>
              <w:t> </w:t>
            </w:r>
          </w:p>
        </w:tc>
      </w:tr>
      <w:tr>
        <w:trPr>
          <w:trHeight w:val="240" w:hRule="atLeast"/>
        </w:trPr>
        <w:tc>
          <w:tcPr>
            <w:tcW w:w="1272" w:type="dxa"/>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r>
      <w:tr>
        <w:trPr/>
        <w:tc>
          <w:tcPr>
            <w:tcW w:w="1272" w:type="dxa"/>
            <w:tcBorders/>
          </w:tcPr>
          <w:p>
            <w:pPr>
              <w:pStyle w:val="TableContents"/>
              <w:bidi w:val="0"/>
              <w:spacing w:before="0" w:after="283"/>
              <w:jc w:val="left"/>
              <w:rPr/>
            </w:pPr>
            <w:r>
              <w:rPr/>
              <w:t>Name:</w:t>
            </w:r>
          </w:p>
        </w:tc>
        <w:tc>
          <w:tcPr>
            <w:tcW w:w="122" w:type="dxa"/>
            <w:tcBorders/>
            <w:vAlign w:val="bottom"/>
          </w:tcPr>
          <w:p>
            <w:pPr>
              <w:pStyle w:val="TableContents"/>
              <w:bidi w:val="0"/>
              <w:spacing w:before="0" w:after="283"/>
              <w:jc w:val="left"/>
              <w:rPr/>
            </w:pPr>
            <w:r>
              <w:rPr/>
              <w:t> </w:t>
            </w:r>
          </w:p>
        </w:tc>
        <w:tc>
          <w:tcPr>
            <w:tcW w:w="2688" w:type="dxa"/>
            <w:tcBorders/>
          </w:tcPr>
          <w:p>
            <w:pPr>
              <w:pStyle w:val="TableContents"/>
              <w:pBdr>
                <w:bottom w:val="single" w:sz="2" w:space="1" w:color="000000"/>
              </w:pBdr>
              <w:bidi w:val="0"/>
              <w:spacing w:before="0" w:after="20"/>
              <w:jc w:val="left"/>
              <w:rPr/>
            </w:pPr>
            <w:r>
              <w:rPr/>
              <w:t> </w:t>
            </w:r>
          </w:p>
        </w:tc>
      </w:tr>
      <w:tr>
        <w:trPr>
          <w:trHeight w:val="240" w:hRule="atLeast"/>
        </w:trPr>
        <w:tc>
          <w:tcPr>
            <w:tcW w:w="1272" w:type="dxa"/>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r>
      <w:tr>
        <w:trPr/>
        <w:tc>
          <w:tcPr>
            <w:tcW w:w="1272" w:type="dxa"/>
            <w:tcBorders/>
          </w:tcPr>
          <w:p>
            <w:pPr>
              <w:pStyle w:val="TableContents"/>
              <w:bidi w:val="0"/>
              <w:spacing w:before="0" w:after="283"/>
              <w:jc w:val="left"/>
              <w:rPr/>
            </w:pPr>
            <w:r>
              <w:rPr/>
              <w:t>Title:</w:t>
            </w:r>
          </w:p>
        </w:tc>
        <w:tc>
          <w:tcPr>
            <w:tcW w:w="122" w:type="dxa"/>
            <w:tcBorders/>
            <w:vAlign w:val="bottom"/>
          </w:tcPr>
          <w:p>
            <w:pPr>
              <w:pStyle w:val="TableContents"/>
              <w:bidi w:val="0"/>
              <w:spacing w:before="0" w:after="283"/>
              <w:jc w:val="left"/>
              <w:rPr/>
            </w:pPr>
            <w:r>
              <w:rPr/>
              <w:t> </w:t>
            </w:r>
          </w:p>
        </w:tc>
        <w:tc>
          <w:tcPr>
            <w:tcW w:w="2688"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w:t>
            </w:r>
            <w:r>
              <w:rPr>
                <w:b/>
                <w:sz w:val="20"/>
              </w:rPr>
              <w:t>RUSTEE</w:t>
            </w:r>
            <w:r>
              <w:rPr>
                <w:b/>
              </w:rPr>
              <w:t>]</w:t>
            </w:r>
            <w:r>
              <w:rPr/>
              <w:t>, as Trustee</w:t>
            </w:r>
          </w:p>
        </w:tc>
      </w:tr>
      <w:tr>
        <w:trPr>
          <w:trHeight w:val="240" w:hRule="atLeast"/>
        </w:trPr>
        <w:tc>
          <w:tcPr>
            <w:tcW w:w="1272" w:type="dxa"/>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r>
      <w:tr>
        <w:trPr/>
        <w:tc>
          <w:tcPr>
            <w:tcW w:w="1272" w:type="dxa"/>
            <w:tcBorders/>
          </w:tcPr>
          <w:p>
            <w:pPr>
              <w:pStyle w:val="TableContents"/>
              <w:bidi w:val="0"/>
              <w:spacing w:before="0" w:after="283"/>
              <w:jc w:val="left"/>
              <w:rPr/>
            </w:pPr>
            <w:r>
              <w:rPr/>
              <w:t>By:</w:t>
            </w:r>
          </w:p>
        </w:tc>
        <w:tc>
          <w:tcPr>
            <w:tcW w:w="122" w:type="dxa"/>
            <w:tcBorders/>
            <w:vAlign w:val="bottom"/>
          </w:tcPr>
          <w:p>
            <w:pPr>
              <w:pStyle w:val="TableContents"/>
              <w:bidi w:val="0"/>
              <w:spacing w:before="0" w:after="283"/>
              <w:jc w:val="left"/>
              <w:rPr/>
            </w:pPr>
            <w:r>
              <w:rPr/>
              <w:t> </w:t>
            </w:r>
          </w:p>
        </w:tc>
        <w:tc>
          <w:tcPr>
            <w:tcW w:w="2688" w:type="dxa"/>
            <w:tcBorders/>
          </w:tcPr>
          <w:p>
            <w:pPr>
              <w:pStyle w:val="TableContents"/>
              <w:pBdr>
                <w:bottom w:val="single" w:sz="2" w:space="1" w:color="000000"/>
              </w:pBdr>
              <w:bidi w:val="0"/>
              <w:spacing w:before="0" w:after="20"/>
              <w:jc w:val="left"/>
              <w:rPr/>
            </w:pPr>
            <w:r>
              <w:rPr/>
              <w:t> </w:t>
            </w:r>
          </w:p>
        </w:tc>
      </w:tr>
      <w:tr>
        <w:trPr>
          <w:trHeight w:val="240" w:hRule="atLeast"/>
        </w:trPr>
        <w:tc>
          <w:tcPr>
            <w:tcW w:w="1272" w:type="dxa"/>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r>
      <w:tr>
        <w:trPr/>
        <w:tc>
          <w:tcPr>
            <w:tcW w:w="1272" w:type="dxa"/>
            <w:tcBorders/>
          </w:tcPr>
          <w:p>
            <w:pPr>
              <w:pStyle w:val="TableContents"/>
              <w:bidi w:val="0"/>
              <w:spacing w:before="0" w:after="283"/>
              <w:jc w:val="left"/>
              <w:rPr/>
            </w:pPr>
            <w:r>
              <w:rPr/>
              <w:t>Name:</w:t>
            </w:r>
          </w:p>
        </w:tc>
        <w:tc>
          <w:tcPr>
            <w:tcW w:w="122" w:type="dxa"/>
            <w:tcBorders/>
            <w:vAlign w:val="bottom"/>
          </w:tcPr>
          <w:p>
            <w:pPr>
              <w:pStyle w:val="TableContents"/>
              <w:bidi w:val="0"/>
              <w:spacing w:before="0" w:after="283"/>
              <w:jc w:val="left"/>
              <w:rPr/>
            </w:pPr>
            <w:r>
              <w:rPr/>
              <w:t> </w:t>
            </w:r>
          </w:p>
        </w:tc>
        <w:tc>
          <w:tcPr>
            <w:tcW w:w="2688" w:type="dxa"/>
            <w:tcBorders/>
          </w:tcPr>
          <w:p>
            <w:pPr>
              <w:pStyle w:val="TableContents"/>
              <w:pBdr>
                <w:bottom w:val="single" w:sz="2" w:space="1" w:color="000000"/>
              </w:pBdr>
              <w:bidi w:val="0"/>
              <w:spacing w:before="0" w:after="20"/>
              <w:jc w:val="left"/>
              <w:rPr/>
            </w:pPr>
            <w:r>
              <w:rPr/>
              <w:t> </w:t>
            </w:r>
          </w:p>
        </w:tc>
      </w:tr>
      <w:tr>
        <w:trPr>
          <w:trHeight w:val="240" w:hRule="atLeast"/>
        </w:trPr>
        <w:tc>
          <w:tcPr>
            <w:tcW w:w="1272" w:type="dxa"/>
            <w:tcBorders/>
            <w:vAlign w:val="center"/>
          </w:tcPr>
          <w:p>
            <w:pPr>
              <w:pStyle w:val="TableContents"/>
              <w:bidi w:val="0"/>
              <w:spacing w:before="0" w:after="283"/>
              <w:jc w:val="left"/>
              <w:rPr>
                <w:sz w:val="4"/>
                <w:szCs w:val="4"/>
              </w:rPr>
            </w:pPr>
            <w:r>
              <w:rPr>
                <w:sz w:val="4"/>
                <w:szCs w:val="4"/>
              </w:rPr>
            </w:r>
          </w:p>
        </w:tc>
        <w:tc>
          <w:tcPr>
            <w:tcW w:w="2810" w:type="dxa"/>
            <w:gridSpan w:val="2"/>
            <w:tcBorders/>
            <w:vAlign w:val="center"/>
          </w:tcPr>
          <w:p>
            <w:pPr>
              <w:pStyle w:val="TableContents"/>
              <w:bidi w:val="0"/>
              <w:spacing w:before="0" w:after="283"/>
              <w:jc w:val="left"/>
              <w:rPr>
                <w:sz w:val="4"/>
                <w:szCs w:val="4"/>
              </w:rPr>
            </w:pPr>
            <w:r>
              <w:rPr>
                <w:sz w:val="4"/>
                <w:szCs w:val="4"/>
              </w:rPr>
            </w:r>
          </w:p>
        </w:tc>
      </w:tr>
      <w:tr>
        <w:trPr/>
        <w:tc>
          <w:tcPr>
            <w:tcW w:w="1272" w:type="dxa"/>
            <w:tcBorders/>
          </w:tcPr>
          <w:p>
            <w:pPr>
              <w:pStyle w:val="TableContents"/>
              <w:bidi w:val="0"/>
              <w:spacing w:before="0" w:after="283"/>
              <w:jc w:val="left"/>
              <w:rPr/>
            </w:pPr>
            <w:r>
              <w:rPr/>
              <w:t>Title:</w:t>
            </w:r>
          </w:p>
        </w:tc>
        <w:tc>
          <w:tcPr>
            <w:tcW w:w="122" w:type="dxa"/>
            <w:tcBorders/>
            <w:vAlign w:val="bottom"/>
          </w:tcPr>
          <w:p>
            <w:pPr>
              <w:pStyle w:val="TableContents"/>
              <w:bidi w:val="0"/>
              <w:spacing w:before="0" w:after="283"/>
              <w:jc w:val="left"/>
              <w:rPr/>
            </w:pPr>
            <w:r>
              <w:rPr/>
              <w:t> </w:t>
            </w:r>
          </w:p>
        </w:tc>
        <w:tc>
          <w:tcPr>
            <w:tcW w:w="268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CROSS-REFERENCE TABLE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3"/>
        <w:gridCol w:w="306"/>
        <w:gridCol w:w="2246"/>
      </w:tblGrid>
      <w:tr>
        <w:trPr/>
        <w:tc>
          <w:tcPr>
            <w:tcW w:w="7653"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76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Section of Trust Indenture Act of 1939, as Amended</w:t>
            </w:r>
          </w:p>
        </w:tc>
        <w:tc>
          <w:tcPr>
            <w:tcW w:w="306" w:type="dxa"/>
            <w:tcBorders/>
            <w:vAlign w:val="bottom"/>
          </w:tcPr>
          <w:p>
            <w:pPr>
              <w:pStyle w:val="TableContents"/>
              <w:bidi w:val="0"/>
              <w:spacing w:before="0" w:after="283"/>
              <w:jc w:val="left"/>
              <w:rPr/>
            </w:pPr>
            <w:r>
              <w:rPr/>
              <w:t>    </w:t>
            </w:r>
          </w:p>
        </w:tc>
        <w:tc>
          <w:tcPr>
            <w:tcW w:w="22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Section of Indenture</w:t>
            </w:r>
          </w:p>
        </w:tc>
      </w:tr>
      <w:tr>
        <w:trPr/>
        <w:tc>
          <w:tcPr>
            <w:tcW w:w="7653" w:type="dxa"/>
            <w:tcBorders/>
          </w:tcPr>
          <w:p>
            <w:pPr>
              <w:pStyle w:val="TableContents"/>
              <w:bidi w:val="0"/>
              <w:spacing w:before="0" w:after="283"/>
              <w:jc w:val="left"/>
              <w:rPr/>
            </w:pPr>
            <w:r>
              <w:rPr/>
              <w:t>310(a)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7.09</w:t>
            </w:r>
          </w:p>
        </w:tc>
      </w:tr>
      <w:tr>
        <w:trPr/>
        <w:tc>
          <w:tcPr>
            <w:tcW w:w="7653" w:type="dxa"/>
            <w:tcBorders/>
          </w:tcPr>
          <w:p>
            <w:pPr>
              <w:pStyle w:val="TableContents"/>
              <w:bidi w:val="0"/>
              <w:spacing w:before="0" w:after="283"/>
              <w:jc w:val="left"/>
              <w:rPr/>
            </w:pPr>
            <w:r>
              <w:rPr/>
              <w:t>310(b)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7.08</w:t>
            </w:r>
          </w:p>
        </w:tc>
      </w:tr>
      <w:tr>
        <w:trPr/>
        <w:tc>
          <w:tcPr>
            <w:tcW w:w="7653"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7.10</w:t>
            </w:r>
          </w:p>
        </w:tc>
      </w:tr>
      <w:tr>
        <w:trPr/>
        <w:tc>
          <w:tcPr>
            <w:tcW w:w="7653" w:type="dxa"/>
            <w:tcBorders/>
          </w:tcPr>
          <w:p>
            <w:pPr>
              <w:pStyle w:val="TableContents"/>
              <w:bidi w:val="0"/>
              <w:spacing w:before="0" w:after="283"/>
              <w:jc w:val="left"/>
              <w:rPr/>
            </w:pPr>
            <w:r>
              <w:rPr/>
              <w:t>310(c)</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Inapplicable</w:t>
            </w:r>
          </w:p>
        </w:tc>
      </w:tr>
      <w:tr>
        <w:trPr/>
        <w:tc>
          <w:tcPr>
            <w:tcW w:w="7653" w:type="dxa"/>
            <w:tcBorders/>
          </w:tcPr>
          <w:p>
            <w:pPr>
              <w:pStyle w:val="TableContents"/>
              <w:bidi w:val="0"/>
              <w:spacing w:before="0" w:after="283"/>
              <w:jc w:val="left"/>
              <w:rPr/>
            </w:pPr>
            <w:r>
              <w:rPr/>
              <w:t>311(a)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7.13</w:t>
            </w:r>
          </w:p>
        </w:tc>
      </w:tr>
      <w:tr>
        <w:trPr/>
        <w:tc>
          <w:tcPr>
            <w:tcW w:w="7653" w:type="dxa"/>
            <w:tcBorders/>
          </w:tcPr>
          <w:p>
            <w:pPr>
              <w:pStyle w:val="TableContents"/>
              <w:bidi w:val="0"/>
              <w:spacing w:before="0" w:after="283"/>
              <w:jc w:val="left"/>
              <w:rPr/>
            </w:pPr>
            <w:r>
              <w:rPr/>
              <w:t>311(b)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7.13</w:t>
            </w:r>
          </w:p>
        </w:tc>
      </w:tr>
      <w:tr>
        <w:trPr/>
        <w:tc>
          <w:tcPr>
            <w:tcW w:w="7653" w:type="dxa"/>
            <w:tcBorders/>
          </w:tcPr>
          <w:p>
            <w:pPr>
              <w:pStyle w:val="TableContents"/>
              <w:bidi w:val="0"/>
              <w:spacing w:before="0" w:after="283"/>
              <w:jc w:val="left"/>
              <w:rPr/>
            </w:pPr>
            <w:r>
              <w:rPr/>
              <w:t>311(c)</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Inapplicable</w:t>
            </w:r>
          </w:p>
        </w:tc>
      </w:tr>
      <w:tr>
        <w:trPr/>
        <w:tc>
          <w:tcPr>
            <w:tcW w:w="7653" w:type="dxa"/>
            <w:tcBorders/>
          </w:tcPr>
          <w:p>
            <w:pPr>
              <w:pStyle w:val="TableContents"/>
              <w:bidi w:val="0"/>
              <w:spacing w:before="0" w:after="283"/>
              <w:jc w:val="left"/>
              <w:rPr/>
            </w:pPr>
            <w:r>
              <w:rPr/>
              <w:t>312(a)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5.01</w:t>
            </w:r>
          </w:p>
        </w:tc>
      </w:tr>
      <w:tr>
        <w:trPr/>
        <w:tc>
          <w:tcPr>
            <w:tcW w:w="7653"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5.02(a)</w:t>
            </w:r>
          </w:p>
        </w:tc>
      </w:tr>
      <w:tr>
        <w:trPr/>
        <w:tc>
          <w:tcPr>
            <w:tcW w:w="7653" w:type="dxa"/>
            <w:tcBorders/>
          </w:tcPr>
          <w:p>
            <w:pPr>
              <w:pStyle w:val="TableContents"/>
              <w:bidi w:val="0"/>
              <w:spacing w:before="0" w:after="283"/>
              <w:jc w:val="left"/>
              <w:rPr/>
            </w:pPr>
            <w:r>
              <w:rPr/>
              <w:t>312(b)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5.02(c)</w:t>
            </w:r>
          </w:p>
        </w:tc>
      </w:tr>
      <w:tr>
        <w:trPr/>
        <w:tc>
          <w:tcPr>
            <w:tcW w:w="7653" w:type="dxa"/>
            <w:tcBorders/>
          </w:tcPr>
          <w:p>
            <w:pPr>
              <w:pStyle w:val="TableContents"/>
              <w:bidi w:val="0"/>
              <w:spacing w:before="0" w:after="283"/>
              <w:jc w:val="left"/>
              <w:rPr/>
            </w:pPr>
            <w:r>
              <w:rPr/>
              <w:t>312(c)</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5.02(c)</w:t>
            </w:r>
          </w:p>
        </w:tc>
      </w:tr>
      <w:tr>
        <w:trPr/>
        <w:tc>
          <w:tcPr>
            <w:tcW w:w="7653" w:type="dxa"/>
            <w:tcBorders/>
          </w:tcPr>
          <w:p>
            <w:pPr>
              <w:pStyle w:val="TableContents"/>
              <w:bidi w:val="0"/>
              <w:spacing w:before="0" w:after="283"/>
              <w:jc w:val="left"/>
              <w:rPr/>
            </w:pPr>
            <w:r>
              <w:rPr/>
              <w:t>313(a)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5.04(a)</w:t>
            </w:r>
          </w:p>
        </w:tc>
      </w:tr>
      <w:tr>
        <w:trPr/>
        <w:tc>
          <w:tcPr>
            <w:tcW w:w="7653" w:type="dxa"/>
            <w:tcBorders/>
          </w:tcPr>
          <w:p>
            <w:pPr>
              <w:pStyle w:val="TableContents"/>
              <w:bidi w:val="0"/>
              <w:spacing w:before="0" w:after="283"/>
              <w:jc w:val="left"/>
              <w:rPr/>
            </w:pPr>
            <w:r>
              <w:rPr/>
              <w:t>313(b)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5.04(b)</w:t>
            </w:r>
          </w:p>
        </w:tc>
      </w:tr>
      <w:tr>
        <w:trPr/>
        <w:tc>
          <w:tcPr>
            <w:tcW w:w="7653" w:type="dxa"/>
            <w:tcBorders/>
          </w:tcPr>
          <w:p>
            <w:pPr>
              <w:pStyle w:val="TableContents"/>
              <w:bidi w:val="0"/>
              <w:spacing w:before="0" w:after="283"/>
              <w:jc w:val="left"/>
              <w:rPr/>
            </w:pPr>
            <w:r>
              <w:rPr/>
              <w:t>313(c)</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5.04(a)</w:t>
            </w:r>
          </w:p>
        </w:tc>
      </w:tr>
      <w:tr>
        <w:trPr/>
        <w:tc>
          <w:tcPr>
            <w:tcW w:w="7653"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5.04(b)</w:t>
            </w:r>
          </w:p>
        </w:tc>
      </w:tr>
      <w:tr>
        <w:trPr/>
        <w:tc>
          <w:tcPr>
            <w:tcW w:w="7653" w:type="dxa"/>
            <w:tcBorders/>
          </w:tcPr>
          <w:p>
            <w:pPr>
              <w:pStyle w:val="TableContents"/>
              <w:bidi w:val="0"/>
              <w:spacing w:before="0" w:after="283"/>
              <w:jc w:val="left"/>
              <w:rPr/>
            </w:pPr>
            <w:r>
              <w:rPr/>
              <w:t>313(d)</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5.04(c)</w:t>
            </w:r>
          </w:p>
        </w:tc>
      </w:tr>
      <w:tr>
        <w:trPr/>
        <w:tc>
          <w:tcPr>
            <w:tcW w:w="7653" w:type="dxa"/>
            <w:tcBorders/>
          </w:tcPr>
          <w:p>
            <w:pPr>
              <w:pStyle w:val="TableContents"/>
              <w:bidi w:val="0"/>
              <w:spacing w:before="0" w:after="283"/>
              <w:jc w:val="left"/>
              <w:rPr/>
            </w:pPr>
            <w:r>
              <w:rPr/>
              <w:t>314(a)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5.03</w:t>
            </w:r>
          </w:p>
        </w:tc>
      </w:tr>
      <w:tr>
        <w:trPr/>
        <w:tc>
          <w:tcPr>
            <w:tcW w:w="7653"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13.12</w:t>
            </w:r>
          </w:p>
        </w:tc>
      </w:tr>
      <w:tr>
        <w:trPr/>
        <w:tc>
          <w:tcPr>
            <w:tcW w:w="7653" w:type="dxa"/>
            <w:tcBorders/>
          </w:tcPr>
          <w:p>
            <w:pPr>
              <w:pStyle w:val="TableContents"/>
              <w:bidi w:val="0"/>
              <w:spacing w:before="0" w:after="283"/>
              <w:jc w:val="left"/>
              <w:rPr/>
            </w:pPr>
            <w:r>
              <w:rPr/>
              <w:t>314(b)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Inapplicable</w:t>
            </w:r>
          </w:p>
        </w:tc>
      </w:tr>
      <w:tr>
        <w:trPr/>
        <w:tc>
          <w:tcPr>
            <w:tcW w:w="7653" w:type="dxa"/>
            <w:tcBorders/>
          </w:tcPr>
          <w:p>
            <w:pPr>
              <w:pStyle w:val="TableContents"/>
              <w:bidi w:val="0"/>
              <w:spacing w:before="0" w:after="283"/>
              <w:jc w:val="left"/>
              <w:rPr/>
            </w:pPr>
            <w:r>
              <w:rPr/>
              <w:t>314(c)</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13.07(a)</w:t>
            </w:r>
          </w:p>
        </w:tc>
      </w:tr>
      <w:tr>
        <w:trPr/>
        <w:tc>
          <w:tcPr>
            <w:tcW w:w="7653" w:type="dxa"/>
            <w:tcBorders/>
          </w:tcPr>
          <w:p>
            <w:pPr>
              <w:pStyle w:val="TableContents"/>
              <w:bidi w:val="0"/>
              <w:spacing w:before="0" w:after="283"/>
              <w:jc w:val="left"/>
              <w:rPr/>
            </w:pPr>
            <w:r>
              <w:rPr/>
              <w:t>314(d)</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Inapplicable</w:t>
            </w:r>
          </w:p>
        </w:tc>
      </w:tr>
      <w:tr>
        <w:trPr/>
        <w:tc>
          <w:tcPr>
            <w:tcW w:w="7653" w:type="dxa"/>
            <w:tcBorders/>
          </w:tcPr>
          <w:p>
            <w:pPr>
              <w:pStyle w:val="TableContents"/>
              <w:bidi w:val="0"/>
              <w:spacing w:before="0" w:after="283"/>
              <w:jc w:val="left"/>
              <w:rPr/>
            </w:pPr>
            <w:r>
              <w:rPr/>
              <w:t>314(e)</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13.07(b)</w:t>
            </w:r>
          </w:p>
        </w:tc>
      </w:tr>
      <w:tr>
        <w:trPr/>
        <w:tc>
          <w:tcPr>
            <w:tcW w:w="7653" w:type="dxa"/>
            <w:tcBorders/>
          </w:tcPr>
          <w:p>
            <w:pPr>
              <w:pStyle w:val="TableContents"/>
              <w:bidi w:val="0"/>
              <w:spacing w:before="0" w:after="283"/>
              <w:jc w:val="left"/>
              <w:rPr/>
            </w:pPr>
            <w:r>
              <w:rPr/>
              <w:t>314(f)</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Inapplicable</w:t>
            </w:r>
          </w:p>
        </w:tc>
      </w:tr>
      <w:tr>
        <w:trPr/>
        <w:tc>
          <w:tcPr>
            <w:tcW w:w="7653" w:type="dxa"/>
            <w:tcBorders/>
          </w:tcPr>
          <w:p>
            <w:pPr>
              <w:pStyle w:val="TableContents"/>
              <w:bidi w:val="0"/>
              <w:spacing w:before="0" w:after="283"/>
              <w:jc w:val="left"/>
              <w:rPr/>
            </w:pPr>
            <w:r>
              <w:rPr/>
              <w:t>315(a)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7.01(a)</w:t>
            </w:r>
          </w:p>
        </w:tc>
      </w:tr>
      <w:tr>
        <w:trPr/>
        <w:tc>
          <w:tcPr>
            <w:tcW w:w="7653"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7.01(b)</w:t>
            </w:r>
          </w:p>
        </w:tc>
      </w:tr>
      <w:tr>
        <w:trPr/>
        <w:tc>
          <w:tcPr>
            <w:tcW w:w="7653" w:type="dxa"/>
            <w:tcBorders/>
          </w:tcPr>
          <w:p>
            <w:pPr>
              <w:pStyle w:val="TableContents"/>
              <w:bidi w:val="0"/>
              <w:spacing w:before="0" w:after="283"/>
              <w:jc w:val="left"/>
              <w:rPr/>
            </w:pPr>
            <w:r>
              <w:rPr/>
              <w:t>315(b)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7.14</w:t>
            </w:r>
          </w:p>
        </w:tc>
      </w:tr>
      <w:tr>
        <w:trPr/>
        <w:tc>
          <w:tcPr>
            <w:tcW w:w="7653" w:type="dxa"/>
            <w:tcBorders/>
          </w:tcPr>
          <w:p>
            <w:pPr>
              <w:pStyle w:val="TableContents"/>
              <w:bidi w:val="0"/>
              <w:spacing w:before="0" w:after="283"/>
              <w:jc w:val="left"/>
              <w:rPr/>
            </w:pPr>
            <w:r>
              <w:rPr/>
              <w:t>315(c)</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7.01</w:t>
            </w:r>
          </w:p>
        </w:tc>
      </w:tr>
      <w:tr>
        <w:trPr/>
        <w:tc>
          <w:tcPr>
            <w:tcW w:w="7653" w:type="dxa"/>
            <w:tcBorders/>
          </w:tcPr>
          <w:p>
            <w:pPr>
              <w:pStyle w:val="TableContents"/>
              <w:bidi w:val="0"/>
              <w:spacing w:before="0" w:after="283"/>
              <w:jc w:val="left"/>
              <w:rPr/>
            </w:pPr>
            <w:r>
              <w:rPr/>
              <w:t>315(d)</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7.01(b)</w:t>
            </w:r>
          </w:p>
        </w:tc>
      </w:tr>
      <w:tr>
        <w:trPr/>
        <w:tc>
          <w:tcPr>
            <w:tcW w:w="7653" w:type="dxa"/>
            <w:tcBorders/>
          </w:tcPr>
          <w:p>
            <w:pPr>
              <w:pStyle w:val="TableContents"/>
              <w:bidi w:val="0"/>
              <w:spacing w:before="0" w:after="283"/>
              <w:jc w:val="left"/>
              <w:rPr/>
            </w:pPr>
            <w:r>
              <w:rPr/>
              <w:t>315(e)</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6.07</w:t>
            </w:r>
          </w:p>
        </w:tc>
      </w:tr>
      <w:tr>
        <w:trPr/>
        <w:tc>
          <w:tcPr>
            <w:tcW w:w="7653" w:type="dxa"/>
            <w:tcBorders/>
          </w:tcPr>
          <w:p>
            <w:pPr>
              <w:pStyle w:val="TableContents"/>
              <w:bidi w:val="0"/>
              <w:spacing w:before="0" w:after="283"/>
              <w:jc w:val="left"/>
              <w:rPr/>
            </w:pPr>
            <w:r>
              <w:rPr/>
              <w:t>316(a)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6.06</w:t>
            </w:r>
          </w:p>
        </w:tc>
      </w:tr>
      <w:tr>
        <w:trPr/>
        <w:tc>
          <w:tcPr>
            <w:tcW w:w="7653" w:type="dxa"/>
            <w:tcBorders/>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8.04</w:t>
            </w:r>
          </w:p>
        </w:tc>
      </w:tr>
      <w:tr>
        <w:trPr/>
        <w:tc>
          <w:tcPr>
            <w:tcW w:w="7653" w:type="dxa"/>
            <w:tcBorders/>
          </w:tcPr>
          <w:p>
            <w:pPr>
              <w:pStyle w:val="TableContents"/>
              <w:bidi w:val="0"/>
              <w:spacing w:before="0" w:after="283"/>
              <w:jc w:val="left"/>
              <w:rPr/>
            </w:pPr>
            <w:r>
              <w:rPr/>
              <w:t>316(b)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6.04</w:t>
            </w:r>
          </w:p>
        </w:tc>
      </w:tr>
      <w:tr>
        <w:trPr/>
        <w:tc>
          <w:tcPr>
            <w:tcW w:w="7653" w:type="dxa"/>
            <w:tcBorders/>
          </w:tcPr>
          <w:p>
            <w:pPr>
              <w:pStyle w:val="TableContents"/>
              <w:bidi w:val="0"/>
              <w:spacing w:before="0" w:after="283"/>
              <w:jc w:val="left"/>
              <w:rPr/>
            </w:pPr>
            <w:r>
              <w:rPr/>
              <w:t>316(c)</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8.01</w:t>
            </w:r>
          </w:p>
        </w:tc>
      </w:tr>
      <w:tr>
        <w:trPr/>
        <w:tc>
          <w:tcPr>
            <w:tcW w:w="7653" w:type="dxa"/>
            <w:tcBorders/>
          </w:tcPr>
          <w:p>
            <w:pPr>
              <w:pStyle w:val="TableContents"/>
              <w:bidi w:val="0"/>
              <w:spacing w:before="0" w:after="283"/>
              <w:jc w:val="left"/>
              <w:rPr/>
            </w:pPr>
            <w:r>
              <w:rPr/>
              <w:t>317(a)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6.02</w:t>
            </w:r>
          </w:p>
        </w:tc>
      </w:tr>
      <w:tr>
        <w:trPr/>
        <w:tc>
          <w:tcPr>
            <w:tcW w:w="7653" w:type="dxa"/>
            <w:tcBorders/>
          </w:tcPr>
          <w:p>
            <w:pPr>
              <w:pStyle w:val="TableContents"/>
              <w:bidi w:val="0"/>
              <w:spacing w:before="0" w:after="283"/>
              <w:jc w:val="left"/>
              <w:rPr/>
            </w:pPr>
            <w:r>
              <w:rPr/>
              <w:t>317(b)</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4.03</w:t>
            </w:r>
          </w:p>
        </w:tc>
      </w:tr>
      <w:tr>
        <w:trPr/>
        <w:tc>
          <w:tcPr>
            <w:tcW w:w="7653" w:type="dxa"/>
            <w:tcBorders/>
          </w:tcPr>
          <w:p>
            <w:pPr>
              <w:pStyle w:val="TableContents"/>
              <w:bidi w:val="0"/>
              <w:spacing w:before="0" w:after="283"/>
              <w:jc w:val="left"/>
              <w:rPr/>
            </w:pPr>
            <w:r>
              <w:rPr/>
              <w:t>318(a)</w:t>
            </w:r>
          </w:p>
        </w:tc>
        <w:tc>
          <w:tcPr>
            <w:tcW w:w="30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left"/>
              <w:rPr/>
            </w:pPr>
            <w:r>
              <w:rPr/>
              <w:t>13.09</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right"/>
        <w:rPr>
          <w:rFonts w:ascii="Times New Roman" w:hAnsi="Times New Roman"/>
          <w:b/>
          <w:sz w:val="20"/>
        </w:rPr>
      </w:pPr>
      <w:bookmarkStart w:id="39" w:name="d150354dex51.htm"/>
      <w:bookmarkStart w:id="40" w:name="ksd150354dex51"/>
      <w:bookmarkEnd w:id="39"/>
      <w:bookmarkEnd w:id="40"/>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33525"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2"/>
                    <a:stretch>
                      <a:fillRect/>
                    </a:stretch>
                  </pic:blipFill>
                  <pic:spPr bwMode="auto">
                    <a:xfrm>
                      <a:off x="0" y="0"/>
                      <a:ext cx="1533525" cy="476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Asa M. Henin </w:t>
      </w:r>
    </w:p>
    <w:p>
      <w:pPr>
        <w:pStyle w:val="TextBody"/>
        <w:bidi w:val="0"/>
        <w:spacing w:before="0" w:after="0"/>
        <w:jc w:val="left"/>
        <w:rPr>
          <w:rFonts w:ascii="Times New Roman" w:hAnsi="Times New Roman"/>
          <w:sz w:val="20"/>
        </w:rPr>
      </w:pPr>
      <w:r>
        <w:rPr>
          <w:rFonts w:ascii="Times New Roman" w:hAnsi="Times New Roman"/>
          <w:sz w:val="20"/>
        </w:rPr>
        <w:t xml:space="preserve">+1 858 550 6104 </w:t>
      </w:r>
    </w:p>
    <w:p>
      <w:pPr>
        <w:pStyle w:val="TextBody"/>
        <w:bidi w:val="0"/>
        <w:spacing w:before="0" w:after="0"/>
        <w:jc w:val="left"/>
        <w:rPr>
          <w:rFonts w:ascii="Times New Roman" w:hAnsi="Times New Roman"/>
          <w:sz w:val="20"/>
        </w:rPr>
      </w:pPr>
      <w:r>
        <w:rPr>
          <w:rFonts w:ascii="Times New Roman" w:hAnsi="Times New Roman"/>
          <w:sz w:val="20"/>
        </w:rPr>
        <w:t xml:space="preserve">ahenin@cooley.com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ImageneBio, Inc. </w:t>
      </w:r>
    </w:p>
    <w:p>
      <w:pPr>
        <w:pStyle w:val="TextBody"/>
        <w:bidi w:val="0"/>
        <w:spacing w:before="0" w:after="0"/>
        <w:jc w:val="left"/>
        <w:rPr>
          <w:rFonts w:ascii="Times New Roman" w:hAnsi="Times New Roman"/>
          <w:sz w:val="20"/>
        </w:rPr>
      </w:pPr>
      <w:r>
        <w:rPr>
          <w:rFonts w:ascii="Times New Roman" w:hAnsi="Times New Roman"/>
          <w:sz w:val="20"/>
        </w:rPr>
        <w:t xml:space="preserve">12526 High Bluff Drive, Suite 345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92130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ImageneBio, Inc., a Delaware corporation (the “</w:t>
      </w:r>
      <w:r>
        <w:rPr>
          <w:rFonts w:ascii="Times New Roman" w:hAnsi="Times New Roman"/>
          <w:b/>
          <w:i/>
          <w:sz w:val="20"/>
        </w:rPr>
        <w:t>Company</w:t>
      </w:r>
      <w:r>
        <w:rPr>
          <w:rFonts w:ascii="Times New Roman" w:hAnsi="Times New Roman"/>
          <w:sz w:val="20"/>
        </w:rPr>
        <w:t>”), in connection with the filing by the Company with the Securities and Exchange Commission (the “</w:t>
      </w:r>
      <w:r>
        <w:rPr>
          <w:rFonts w:ascii="Times New Roman" w:hAnsi="Times New Roman"/>
          <w:b/>
          <w:i/>
          <w:sz w:val="20"/>
        </w:rPr>
        <w:t>Commission</w:t>
      </w:r>
      <w:r>
        <w:rPr>
          <w:rFonts w:ascii="Times New Roman" w:hAnsi="Times New Roman"/>
          <w:sz w:val="20"/>
        </w:rPr>
        <w:t>”) of a Registration Statement on Form S-3 (the “</w:t>
      </w:r>
      <w:r>
        <w:rPr>
          <w:rFonts w:ascii="Times New Roman" w:hAnsi="Times New Roman"/>
          <w:b/>
          <w:i/>
          <w:sz w:val="20"/>
        </w:rPr>
        <w:t>Registration Statement</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Registration Statement includes two prospectuses, (i) a base prospectus (the “</w:t>
      </w:r>
      <w:r>
        <w:rPr>
          <w:rFonts w:ascii="Times New Roman" w:hAnsi="Times New Roman"/>
          <w:b/>
          <w:i/>
          <w:sz w:val="20"/>
        </w:rPr>
        <w:t>Base Prospectus</w:t>
      </w:r>
      <w:r>
        <w:rPr>
          <w:rFonts w:ascii="Times New Roman" w:hAnsi="Times New Roman"/>
          <w:sz w:val="20"/>
        </w:rPr>
        <w:t>”) and (ii) a sales agreement prospectus (the “</w:t>
      </w:r>
      <w:r>
        <w:rPr>
          <w:rFonts w:ascii="Times New Roman" w:hAnsi="Times New Roman"/>
          <w:b/>
          <w:i/>
          <w:sz w:val="20"/>
        </w:rPr>
        <w:t>ATM Prospectus</w:t>
      </w:r>
      <w:r>
        <w:rPr>
          <w:rFonts w:ascii="Times New Roman" w:hAnsi="Times New Roman"/>
          <w:sz w:val="20"/>
        </w:rPr>
        <w:t>”) covering up to $17,000,000 of shares of the Company’s common stock, $0.001 par value per share (“</w:t>
      </w:r>
      <w:r>
        <w:rPr>
          <w:rFonts w:ascii="Times New Roman" w:hAnsi="Times New Roman"/>
          <w:b/>
          <w:i/>
          <w:sz w:val="20"/>
        </w:rPr>
        <w:t>Common Stock</w:t>
      </w:r>
      <w:r>
        <w:rPr>
          <w:rFonts w:ascii="Times New Roman" w:hAnsi="Times New Roman"/>
          <w:sz w:val="20"/>
        </w:rPr>
        <w:t>”), that may be sold under the Open Market Sale AgreementSM, dated August 5, 2026, by and between the Company and Jefferies LLC (such agreement, the “</w:t>
      </w:r>
      <w:r>
        <w:rPr>
          <w:rFonts w:ascii="Times New Roman" w:hAnsi="Times New Roman"/>
          <w:b/>
          <w:i/>
          <w:sz w:val="20"/>
        </w:rPr>
        <w:t>Sales Agreement</w:t>
      </w:r>
      <w:r>
        <w:rPr>
          <w:rFonts w:ascii="Times New Roman" w:hAnsi="Times New Roman"/>
          <w:sz w:val="20"/>
        </w:rPr>
        <w:t>”, and such shares, the “</w:t>
      </w:r>
      <w:r>
        <w:rPr>
          <w:rFonts w:ascii="Times New Roman" w:hAnsi="Times New Roman"/>
          <w:b/>
          <w:i/>
          <w:sz w:val="20"/>
        </w:rPr>
        <w:t>ATM Shares</w:t>
      </w:r>
      <w:r>
        <w:rPr>
          <w:rFonts w:ascii="Times New Roman" w:hAnsi="Times New Roman"/>
          <w:sz w:val="20"/>
        </w:rPr>
        <w:t>”). The Base Prospectus provides it will be supplemented in the future by one or more prospectus supplements (each, a “</w:t>
      </w:r>
      <w:r>
        <w:rPr>
          <w:rFonts w:ascii="Times New Roman" w:hAnsi="Times New Roman"/>
          <w:b/>
          <w:i/>
          <w:sz w:val="20"/>
        </w:rPr>
        <w:t>Prospectus Supplement</w:t>
      </w:r>
      <w:r>
        <w:rPr>
          <w:rFonts w:ascii="Times New Roman" w:hAnsi="Times New Roman"/>
          <w:sz w:val="20"/>
        </w:rPr>
        <w:t xml:space="preserve">”). The Registration Statement, including the Base Prospectus (as supplemented from time to time by one or more Prospectus Supplements) and the ATM Prospectus will provide for the registration by the Company of the sale of the following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shares of Common Stock (the “</w:t>
            </w:r>
            <w:r>
              <w:rPr>
                <w:rFonts w:ascii="Times New Roman" w:hAnsi="Times New Roman"/>
                <w:b/>
                <w:i/>
                <w:sz w:val="20"/>
              </w:rPr>
              <w:t>Base Prospectus Shares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$0.001 par value per share, of the Company (the “</w:t>
            </w:r>
            <w:r>
              <w:rPr>
                <w:rFonts w:ascii="Times New Roman" w:hAnsi="Times New Roman"/>
                <w:b/>
                <w:i/>
                <w:sz w:val="20"/>
              </w:rPr>
              <w:t>Preferred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i/>
                <w:sz w:val="20"/>
              </w:rPr>
              <w:t>Debt Securities</w:t>
            </w:r>
            <w:r>
              <w:rPr>
                <w:rFonts w:ascii="Times New Roman" w:hAnsi="Times New Roman"/>
                <w:sz w:val="20"/>
              </w:rPr>
              <w:t>”), which may be issued pursuant to an indenture to be dated on or about the date of the first issuance of Debt Securities thereunder, by and between a trustee to be selected by the Company (the “</w:t>
            </w:r>
            <w:r>
              <w:rPr>
                <w:rFonts w:ascii="Times New Roman" w:hAnsi="Times New Roman"/>
                <w:b/>
                <w:i/>
                <w:sz w:val="20"/>
              </w:rPr>
              <w:t>Trustee</w:t>
            </w:r>
            <w:r>
              <w:rPr>
                <w:rFonts w:ascii="Times New Roman" w:hAnsi="Times New Roman"/>
                <w:sz w:val="20"/>
              </w:rPr>
              <w:t>”) and the Company, in the form filed as Exhibit 4.12 to the Registration Statement and one or more indentures supplemental thereto with respect to any particular series of Debt Securities (the “</w:t>
            </w:r>
            <w:r>
              <w:rPr>
                <w:rFonts w:ascii="Times New Roman" w:hAnsi="Times New Roman"/>
                <w:b/>
                <w:i/>
                <w:sz w:val="20"/>
              </w:rPr>
              <w:t>Indenture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Stock, Preferred Stock or Debt Securities (the “</w:t>
            </w:r>
            <w:r>
              <w:rPr>
                <w:rFonts w:ascii="Times New Roman" w:hAnsi="Times New Roman"/>
                <w:b/>
                <w:i/>
                <w:sz w:val="20"/>
              </w:rPr>
              <w:t>Warrants</w:t>
            </w:r>
            <w:r>
              <w:rPr>
                <w:rFonts w:ascii="Times New Roman" w:hAnsi="Times New Roman"/>
                <w:sz w:val="20"/>
              </w:rPr>
              <w:t>”), which may be issued under one or more warrant agreements, to be dated on or about the date of the first issuance of the Warrants thereunder, by and between a warrant agent to be selected by the Company (the “</w:t>
            </w:r>
            <w:r>
              <w:rPr>
                <w:rFonts w:ascii="Times New Roman" w:hAnsi="Times New Roman"/>
                <w:b/>
                <w:i/>
                <w:sz w:val="20"/>
              </w:rPr>
              <w:t>Warrant Agent</w:t>
            </w:r>
            <w:r>
              <w:rPr>
                <w:rFonts w:ascii="Times New Roman" w:hAnsi="Times New Roman"/>
                <w:sz w:val="20"/>
              </w:rPr>
              <w:t>”) and the Company, in the forms filed as Exhibits 4.8, 4.9 and 4.11, respectively, to the Registration Statement (each, a “</w:t>
            </w:r>
            <w:r>
              <w:rPr>
                <w:rFonts w:ascii="Times New Roman" w:hAnsi="Times New Roman"/>
                <w:b/>
                <w:i/>
                <w:sz w:val="20"/>
              </w:rPr>
              <w:t>Warrant Agreement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ATM Shares. </w:t>
            </w:r>
          </w:p>
        </w:tc>
      </w:tr>
    </w:tbl>
    <w:p>
      <w:pPr>
        <w:pStyle w:val="TextBody"/>
        <w:bidi w:val="0"/>
        <w:spacing w:before="240" w:after="0"/>
        <w:jc w:val="left"/>
        <w:rPr>
          <w:rFonts w:ascii="Times New Roman" w:hAnsi="Times New Roman"/>
          <w:sz w:val="20"/>
        </w:rPr>
      </w:pPr>
      <w:r>
        <w:rPr>
          <w:rFonts w:ascii="Times New Roman" w:hAnsi="Times New Roman"/>
          <w:sz w:val="20"/>
        </w:rPr>
        <w:t>The Base Prospectus Shares, the Preferred Stock, the Debt Securities, the Warrants and the ATM Shares, plus any additional Common Stock, Preferred Stock, Debt Securities and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hAnsi="Times New Roman"/>
          <w:b/>
          <w:i/>
          <w:sz w:val="20"/>
        </w:rPr>
        <w:t>Securities</w:t>
      </w:r>
      <w:r>
        <w:rPr>
          <w:rFonts w:ascii="Times New Roman" w:hAnsi="Times New Roman"/>
          <w:i/>
          <w:sz w:val="20"/>
        </w:rPr>
        <w:t>.</w:t>
      </w:r>
      <w:r>
        <w:rPr>
          <w:rFonts w:ascii="Times New Roman" w:hAnsi="Times New Roman"/>
          <w:sz w:val="20"/>
        </w:rPr>
        <w:t xml:space="preserve">” The Securities are being registered for offer and sale from time to time pursuant to Rule 415 under the Securities Act. </w:t>
      </w:r>
    </w:p>
    <w:p>
      <w:pPr>
        <w:pStyle w:val="TextBody"/>
        <w:bidi w:val="0"/>
        <w:spacing w:before="240" w:after="0"/>
        <w:jc w:val="center"/>
        <w:rPr>
          <w:rFonts w:ascii="Times New Roman" w:hAnsi="Times New Roman"/>
          <w:sz w:val="20"/>
        </w:rPr>
      </w:pPr>
      <w:r>
        <w:rPr>
          <w:rFonts w:ascii="Times New Roman" w:hAnsi="Times New Roman"/>
          <w:sz w:val="20"/>
        </w:rPr>
        <w:t xml:space="preserve">Cooley LLP 10265 Science Center Drive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(858) 550-6000 f: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33525" cy="47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3"/>
                    <a:stretch>
                      <a:fillRect/>
                    </a:stretch>
                  </pic:blipFill>
                  <pic:spPr bwMode="auto">
                    <a:xfrm>
                      <a:off x="0" y="0"/>
                      <a:ext cx="1533525" cy="476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opinion, we have examined and relied upon the Company’s certificate of incorporation and bylaws, each as currently in effect, the ATM Agreement and such other records, documents, certificates, opinions,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t>
      </w:r>
    </w:p>
    <w:p>
      <w:pPr>
        <w:pStyle w:val="TextBody"/>
        <w:bidi w:val="0"/>
        <w:spacing w:before="240" w:after="0"/>
        <w:jc w:val="left"/>
        <w:rPr>
          <w:rFonts w:ascii="Times New Roman" w:hAnsi="Times New Roman"/>
          <w:sz w:val="20"/>
        </w:rPr>
      </w:pPr>
      <w:r>
        <w:rPr>
          <w:rFonts w:ascii="Times New Roman" w:hAnsi="Times New Roman"/>
          <w:sz w:val="20"/>
        </w:rPr>
        <w:t>With respect to the ATM Shares, we have assumed that (i) each sale of the ATM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hAnsi="Times New Roman"/>
          <w:b/>
          <w:i/>
          <w:sz w:val="20"/>
        </w:rPr>
        <w:t>DGCL</w:t>
      </w:r>
      <w:r>
        <w:rPr>
          <w:rFonts w:ascii="Times New Roman" w:hAnsi="Times New Roman"/>
          <w:sz w:val="20"/>
        </w:rPr>
        <w:t xml:space="preserve">”) and (ii) no more than 3,000,000 ATM Shares will be sold for a consideration not less than the par value of the Common Stock. With respect to the ATM Shares, we express no opinion to the extent that future issuances of securities of the Company, anti-dilution adjustments to outstanding securities of the Company or other matters cause the number of shares of Common Stock issuable under the Sales Agreement to exceed the number of shares available for issuance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opinion herein is expressed solely with respect to the DGCL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(858) 550-6000 f: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33525"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4"/>
                    <a:stretch>
                      <a:fillRect/>
                    </a:stretch>
                  </pic:blipFill>
                  <pic:spPr bwMode="auto">
                    <a:xfrm>
                      <a:off x="0" y="0"/>
                      <a:ext cx="1533525" cy="476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in reliance thereon and subject to the assumptions, exceptions, limitations and qualifications set forth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1. With respect to the Base Prospectus Shares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Base Prospectus Shares has been duly authorized by all necessary corporate action on the part of the Company; (c) the issuance and sale of the Base Prospectus Shares do not violate any applicable law, are in conformity with the Company’s then operative certificate of incorporation (the “</w:t>
      </w:r>
      <w:r>
        <w:rPr>
          <w:rFonts w:ascii="Times New Roman" w:hAnsi="Times New Roman"/>
          <w:b/>
          <w:i/>
          <w:sz w:val="20"/>
        </w:rPr>
        <w:t>Certificate of Incorporation</w:t>
      </w:r>
      <w:r>
        <w:rPr>
          <w:rFonts w:ascii="Times New Roman" w:hAnsi="Times New Roman"/>
          <w:sz w:val="20"/>
        </w:rPr>
        <w:t>”) and bylaws (the “</w:t>
      </w:r>
      <w:r>
        <w:rPr>
          <w:rFonts w:ascii="Times New Roman" w:hAnsi="Times New Roman"/>
          <w:b/>
          <w:i/>
          <w:sz w:val="20"/>
        </w:rPr>
        <w:t>Bylaws</w:t>
      </w:r>
      <w:r>
        <w:rPr>
          <w:rFonts w:ascii="Times New Roman" w:hAnsi="Times New Roman"/>
          <w:sz w:val="20"/>
        </w:rPr>
        <w:t xml:space="preserve">”), do not result in a default under or breach of any agreement or instrument binding upon the Company and comply with any applicable requirement or restriction imposed by any court or governmental body having jurisdiction over the Company; and (d) the certificates, if any, for the Base Prospectus Shares have been duly executed by the Company, countersigned by the transfer agent therefor and duly delivered to the purchasers thereof against payment therefor, then the Base Prospectus Shares,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(858) 550-6000 f: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33525" cy="47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5"/>
                    <a:stretch>
                      <a:fillRect/>
                    </a:stretch>
                  </pic:blipFill>
                  <pic:spPr bwMode="auto">
                    <a:xfrm>
                      <a:off x="0" y="0"/>
                      <a:ext cx="1533525" cy="476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Four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4. 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5. The ATM Shares, when sold and issued against payment therefor in accordance with the Sales Agreement, the Registration Statement and the ATM Prospectus,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caption “Legal Matters” in the Base Prospectus and the ATM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(858) 550-6000 f: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33525" cy="47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6"/>
                    <a:stretch>
                      <a:fillRect/>
                    </a:stretch>
                  </pic:blipFill>
                  <pic:spPr bwMode="auto">
                    <a:xfrm>
                      <a:off x="0" y="0"/>
                      <a:ext cx="1533525" cy="476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Five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1"/>
        <w:gridCol w:w="61"/>
        <w:gridCol w:w="381"/>
        <w:gridCol w:w="61"/>
        <w:gridCol w:w="3468"/>
      </w:tblGrid>
      <w:tr>
        <w:trPr/>
        <w:tc>
          <w:tcPr>
            <w:tcW w:w="11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11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10" w:type="dxa"/>
            <w:gridSpan w:val="3"/>
            <w:tcBorders/>
          </w:tcPr>
          <w:p>
            <w:pPr>
              <w:pStyle w:val="TableContents"/>
              <w:bidi w:val="0"/>
              <w:spacing w:before="0" w:after="283"/>
              <w:jc w:val="left"/>
              <w:rPr/>
            </w:pPr>
            <w:r>
              <w:rPr/>
              <w:t>Sincerely,</w:t>
            </w:r>
          </w:p>
        </w:tc>
      </w:tr>
      <w:tr>
        <w:trPr>
          <w:trHeight w:val="240" w:hRule="atLeast"/>
        </w:trPr>
        <w:tc>
          <w:tcPr>
            <w:tcW w:w="111" w:type="dxa"/>
            <w:tcBorders/>
            <w:vAlign w:val="center"/>
          </w:tcPr>
          <w:p>
            <w:pPr>
              <w:pStyle w:val="TableContents"/>
              <w:bidi w:val="0"/>
              <w:spacing w:before="0" w:after="283"/>
              <w:jc w:val="left"/>
              <w:rPr>
                <w:sz w:val="4"/>
                <w:szCs w:val="4"/>
              </w:rPr>
            </w:pPr>
            <w:r>
              <w:rPr>
                <w:sz w:val="4"/>
                <w:szCs w:val="4"/>
              </w:rPr>
            </w:r>
          </w:p>
        </w:tc>
        <w:tc>
          <w:tcPr>
            <w:tcW w:w="3971" w:type="dxa"/>
            <w:gridSpan w:val="4"/>
            <w:tcBorders/>
            <w:vAlign w:val="center"/>
          </w:tcPr>
          <w:p>
            <w:pPr>
              <w:pStyle w:val="TableContents"/>
              <w:bidi w:val="0"/>
              <w:spacing w:before="0" w:after="283"/>
              <w:jc w:val="left"/>
              <w:rPr>
                <w:sz w:val="4"/>
                <w:szCs w:val="4"/>
              </w:rPr>
            </w:pPr>
            <w:r>
              <w:rPr>
                <w:sz w:val="4"/>
                <w:szCs w:val="4"/>
              </w:rPr>
            </w:r>
          </w:p>
        </w:tc>
      </w:tr>
      <w:tr>
        <w:trPr/>
        <w:tc>
          <w:tcPr>
            <w:tcW w:w="11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10" w:type="dxa"/>
            <w:gridSpan w:val="3"/>
            <w:tcBorders/>
          </w:tcPr>
          <w:p>
            <w:pPr>
              <w:pStyle w:val="TableContents"/>
              <w:bidi w:val="0"/>
              <w:spacing w:before="0" w:after="283"/>
              <w:jc w:val="left"/>
              <w:rPr/>
            </w:pPr>
            <w:r>
              <w:rPr/>
              <w:t>Cooley LLP</w:t>
            </w:r>
          </w:p>
        </w:tc>
      </w:tr>
      <w:tr>
        <w:trPr>
          <w:trHeight w:val="240" w:hRule="atLeast"/>
        </w:trPr>
        <w:tc>
          <w:tcPr>
            <w:tcW w:w="111"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3529" w:type="dxa"/>
            <w:gridSpan w:val="2"/>
            <w:tcBorders/>
            <w:vAlign w:val="center"/>
          </w:tcPr>
          <w:p>
            <w:pPr>
              <w:pStyle w:val="TableContents"/>
              <w:bidi w:val="0"/>
              <w:spacing w:before="0" w:after="283"/>
              <w:jc w:val="left"/>
              <w:rPr>
                <w:sz w:val="4"/>
                <w:szCs w:val="4"/>
              </w:rPr>
            </w:pPr>
            <w:r>
              <w:rPr>
                <w:sz w:val="4"/>
                <w:szCs w:val="4"/>
              </w:rPr>
            </w:r>
          </w:p>
        </w:tc>
      </w:tr>
      <w:tr>
        <w:trPr/>
        <w:tc>
          <w:tcPr>
            <w:tcW w:w="111" w:type="dxa"/>
            <w:tcBorders/>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46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Asa M. Henin</w:t>
            </w:r>
          </w:p>
        </w:tc>
      </w:tr>
      <w:tr>
        <w:trPr/>
        <w:tc>
          <w:tcPr>
            <w:tcW w:w="11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Asa M. Henin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(858) 550-6000 f: (858) 550-6420 cooley.com </w:t>
      </w:r>
    </w:p>
    <w:p>
      <w:pPr>
        <w:pStyle w:val="TextBody"/>
        <w:bidi w:val="0"/>
        <w:spacing w:before="0" w:after="0"/>
        <w:jc w:val="right"/>
        <w:rPr>
          <w:rFonts w:ascii="Times New Roman" w:hAnsi="Times New Roman"/>
          <w:b/>
          <w:sz w:val="20"/>
        </w:rPr>
      </w:pPr>
      <w:bookmarkStart w:id="41" w:name="d150354dex231.htm"/>
      <w:bookmarkStart w:id="42" w:name="ksd150354dex231"/>
      <w:bookmarkEnd w:id="41"/>
      <w:bookmarkEnd w:id="4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ImageneBio, Inc. of our report dated March 10, 2026 relating to the financial statements, which appears in ImageneBio,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Normal"/>
        <w:bidi w:val="0"/>
        <w:spacing w:before="0" w:after="0"/>
        <w:jc w:val="left"/>
        <w:rPr>
          <w:sz w:val="4"/>
          <w:szCs w:val="4"/>
        </w:rPr>
      </w:pPr>
      <w:r>
        <w:rPr>
          <w:sz w:val="4"/>
          <w:szCs w:val="4"/>
        </w:rPr>
      </w:r>
      <w:bookmarkStart w:id="43" w:name="d150354dexfilingfees.htm"/>
      <w:bookmarkStart w:id="44" w:name="ksd150354dexfilingfees"/>
      <w:bookmarkStart w:id="45" w:name="d150354dexfilingfees.htm"/>
      <w:bookmarkStart w:id="46" w:name="ksd150354dexfilingfees"/>
      <w:bookmarkEnd w:id="45"/>
      <w:bookmarkEnd w:id="46"/>
      <w:r>
        <w:br w:type="page"/>
      </w:r>
    </w:p>
    <w:tbl>
      <w:tblPr>
        <w:tblW w:w="3563" w:type="dxa"/>
        <w:jc w:val="left"/>
        <w:tblInd w:w="0" w:type="dxa"/>
        <w:tblLayout w:type="fixed"/>
        <w:tblCellMar>
          <w:top w:w="28" w:type="dxa"/>
          <w:left w:w="28" w:type="dxa"/>
          <w:bottom w:w="28" w:type="dxa"/>
          <w:right w:w="28" w:type="dxa"/>
        </w:tblCellMar>
      </w:tblPr>
      <w:tblGrid>
        <w:gridCol w:w="3409"/>
        <w:gridCol w:w="154"/>
      </w:tblGrid>
      <w:tr>
        <w:trPr/>
        <w:tc>
          <w:tcPr>
            <w:tcW w:w="356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b/>
              </w:rPr>
            </w:pPr>
            <w:r>
              <w:rPr>
                <w:b/>
              </w:rPr>
              <w:t xml:space="preserve">ImageneBio,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$ 27,620.00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7" w:name="MaxAggtOfferingPrice"/>
            <w:bookmarkEnd w:id="47"/>
            <w:r>
              <w:rPr/>
              <w:t xml:space="preserve">$ 200,000,000.00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8" w:name="TotalFeeAmt"/>
            <w:bookmarkEnd w:id="48"/>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9" w:name="TotalPreviouslyPaidAmt"/>
            <w:bookmarkEnd w:id="4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0" w:name="TotalOffsetAmt"/>
            <w:bookmarkEnd w:id="5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 w:name="NetFeeAmt"/>
            <w:bookmarkEnd w:id="51"/>
            <w:r>
              <w:rPr/>
              <w:t xml:space="preserve">$ 27,620.00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6"/>
        <w:gridCol w:w="8711"/>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Separate consideration may or may not be received for securities that are issuable upon the conversion or exercise of, or in exchange for, other securities offered hereby. There are being registered hereunder such indeterminate number of shares of voting common stock ("common stock"), such indeterminate number of shares of preferred stock, such indeterminate principal amount of debt securities and such indeterminate number of warrants to purchase common stock, preferred stock or debt securities as shall have an aggregate initial offering price not to exceed $200,000,000. If any debt securities are issued at an original issue discount, then the principal amount of such debt securities shall be in such greater amount as shall result in an aggregate initial offering price not to exceed $200,000,000, less the aggregate dollar amount of all securities previously issued hereunder. Any securities registered hereunder may be sold separately or in combination with other securities registered hereunder. The $200,000,000 of securities registered hereunder includes $17,000,000 of shares of common stock that may be offered, issued and sold pursuant to that certain Open Market Sale AgreementSM, dated August 5, 2026 by and between the registrant and Jefferies LLC. The securities registered also include such indeterminate number of shares of common stock, preferred stock and amount of debt securities as may be issued upon conversion of or exchange for preferred stock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under the heading "Instructions to the Calculation of Filing Fee Tables and Related Disclosure" of Part II, Item 16, of Form S-3 under the Securities Act.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35579/000119312526099434/ima-20251231.htm" TargetMode="External"/><Relationship Id="rId4" Type="http://schemas.openxmlformats.org/officeDocument/2006/relationships/hyperlink" Target="http://www.sec.gov/Archives/edgar/data/../../../ix?doc=/Archives/edgar/data/0001835579/000114036126018267/edge20064682x1_def14a.htm" TargetMode="External"/><Relationship Id="rId5" Type="http://schemas.openxmlformats.org/officeDocument/2006/relationships/hyperlink" Target="http://www.sec.gov/Archives/edgar/data/../../../ix?doc=/Archives/edgar/data/0001835579/000119312526212073/ima-20260331.htm" TargetMode="External"/><Relationship Id="rId6" Type="http://schemas.openxmlformats.org/officeDocument/2006/relationships/hyperlink" Target="http://www.sec.gov/Archives/edgar/data/../../../ix?doc=/Archives/edgar/data/1835579/000119312526333920/ima-20260630.htm" TargetMode="External"/><Relationship Id="rId7" Type="http://schemas.openxmlformats.org/officeDocument/2006/relationships/hyperlink" Target="http://www.sec.gov/Archives/edgar/data/../../../ix?doc=/Archives/edgar/data/0001835579/000119312526054684/d18298d8k.htm" TargetMode="External"/><Relationship Id="rId8" Type="http://schemas.openxmlformats.org/officeDocument/2006/relationships/hyperlink" Target="http://www.sec.gov/Archives/edgar/data/../../../ix?doc=/Archives/edgar/data/0001835579/000119312526110945/d56716d8k.htm" TargetMode="External"/><Relationship Id="rId9" Type="http://schemas.openxmlformats.org/officeDocument/2006/relationships/hyperlink" Target="http://www.sec.gov/Archives/edgar/data/../../../ix?doc=/Archives/edgar/data/0001835579/000119312526151942/d143873d8k.htm" TargetMode="External"/><Relationship Id="rId10" Type="http://schemas.openxmlformats.org/officeDocument/2006/relationships/hyperlink" Target="http://www.sec.gov/Archives/edgar/data/../../../ix?doc=/Archives/edgar/data/0001835579/000119312526274139/d114862d8k.htm" TargetMode="External"/><Relationship Id="rId11" Type="http://schemas.openxmlformats.org/officeDocument/2006/relationships/hyperlink" Target="http://www.sec.gov/Archives/edgar/data/../../../ix?doc=/Archives/edgar/data/0001835579/000119312526285424/d131079d8k.htm" TargetMode="External"/><Relationship Id="rId12" Type="http://schemas.openxmlformats.org/officeDocument/2006/relationships/hyperlink" Target="http://www.sec.gov/Archives/edgar/data/../../../ix?doc=/Archives/edgar/data/1835579/000119312526314167/d143178d8k.htm" TargetMode="External"/><Relationship Id="rId13" Type="http://schemas.openxmlformats.org/officeDocument/2006/relationships/hyperlink" Target="http://www.sec.gov/Archives/edgar/data/1835579/000119312526099434/ima-ex4_4.htm" TargetMode="External"/><Relationship Id="rId14" Type="http://schemas.openxmlformats.org/officeDocument/2006/relationships/image" Target="media/image1.jpeg"/><Relationship Id="rId15" Type="http://schemas.openxmlformats.org/officeDocument/2006/relationships/hyperlink" Target="http://www.sec.gov/Archives/edgar/data/../../../ix?doc=/Archives/edgar/data/0001835579/000119312526099434/ima-20251231.htm" TargetMode="External"/><Relationship Id="rId16" Type="http://schemas.openxmlformats.org/officeDocument/2006/relationships/hyperlink" Target="http://www.sec.gov/Archives/edgar/data/../../../ix?doc=/Archives/edgar/data/0001835579/000114036126018267/edge20064682x1_def14a.htm" TargetMode="External"/><Relationship Id="rId17" Type="http://schemas.openxmlformats.org/officeDocument/2006/relationships/hyperlink" Target="http://www.sec.gov/Archives/edgar/data/../../../ix?doc=/Archives/edgar/data/0001835579/000119312526212073/ima-20260331.htm" TargetMode="External"/><Relationship Id="rId18" Type="http://schemas.openxmlformats.org/officeDocument/2006/relationships/hyperlink" Target="http://www.sec.gov/Archives/edgar/data/../../../ix?doc=/Archives/edgar/data/1835579/000119312526333920/ima-20260630.htm" TargetMode="External"/><Relationship Id="rId19" Type="http://schemas.openxmlformats.org/officeDocument/2006/relationships/hyperlink" Target="http://www.sec.gov/Archives/edgar/data/../../../ix?doc=/Archives/edgar/data/0001835579/000119312526054684/d18298d8k.htm" TargetMode="External"/><Relationship Id="rId20" Type="http://schemas.openxmlformats.org/officeDocument/2006/relationships/hyperlink" Target="http://www.sec.gov/Archives/edgar/data/../../../ix?doc=/Archives/edgar/data/0001835579/000119312526110945/d56716d8k.htm" TargetMode="External"/><Relationship Id="rId21" Type="http://schemas.openxmlformats.org/officeDocument/2006/relationships/hyperlink" Target="http://www.sec.gov/Archives/edgar/data/../../../ix?doc=/Archives/edgar/data/0001835579/000119312526151942/d143873d8k.htm" TargetMode="External"/><Relationship Id="rId22" Type="http://schemas.openxmlformats.org/officeDocument/2006/relationships/hyperlink" Target="http://www.sec.gov/Archives/edgar/data/../../../ix?doc=/Archives/edgar/data/0001835579/000119312526274139/d114862d8k.htm" TargetMode="External"/><Relationship Id="rId23" Type="http://schemas.openxmlformats.org/officeDocument/2006/relationships/hyperlink" Target="http://www.sec.gov/Archives/edgar/data/../../../ix?doc=/Archives/edgar/data/0001835579/000119312526285424/d131079d8k.htm" TargetMode="External"/><Relationship Id="rId24" Type="http://schemas.openxmlformats.org/officeDocument/2006/relationships/hyperlink" Target="http://www.sec.gov/Archives/edgar/data/../../../ix?doc=/Archives/edgar/data/1835579/000119312526314167/d143178d8k.htm" TargetMode="External"/><Relationship Id="rId25" Type="http://schemas.openxmlformats.org/officeDocument/2006/relationships/hyperlink" Target="http://www.sec.gov/Archives/edgar/data/1835579/000119312526099434/ima-ex4_4.htm" TargetMode="External"/><Relationship Id="rId26" Type="http://schemas.openxmlformats.org/officeDocument/2006/relationships/image" Target="media/image1.jpeg"/><Relationship Id="rId27" Type="http://schemas.openxmlformats.org/officeDocument/2006/relationships/hyperlink" Target="http://www.sec.gov/Archives/edgar/data/1835579/000119312524283722/d889670dex21.htm" TargetMode="External"/><Relationship Id="rId28" Type="http://schemas.openxmlformats.org/officeDocument/2006/relationships/hyperlink" Target="http://www.sec.gov/Archives/edgar/data/1835579/000119312521100292/d108142dex31.htm" TargetMode="External"/><Relationship Id="rId29" Type="http://schemas.openxmlformats.org/officeDocument/2006/relationships/hyperlink" Target="http://www.sec.gov/Archives/edgar/data/1835579/000119312525167089/d66290dex31.htm" TargetMode="External"/><Relationship Id="rId30" Type="http://schemas.openxmlformats.org/officeDocument/2006/relationships/hyperlink" Target="http://www.sec.gov/Archives/edgar/data/1835579/000119312525167089/d66290dex32.htm" TargetMode="External"/><Relationship Id="rId31" Type="http://schemas.openxmlformats.org/officeDocument/2006/relationships/hyperlink" Target="http://www.sec.gov/Archives/edgar/data/1835579/000119312521100292/d108142dex32.htm" TargetMode="External"/><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219</Pages>
  <Words>105219</Words>
  <Characters>547008</Characters>
  <CharactersWithSpaces>653384</CharactersWithSpaces>
  <Paragraphs>4563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