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42685dposam.htm"/>
        <w:bookmarkStart w:id="1" w:name="ksd342685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5,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333-290108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Post-Effective Amendment No. 2 </w:t>
      </w:r>
    </w:p>
    <w:p>
      <w:pPr>
        <w:pStyle w:val="TextBody"/>
        <w:bidi w:val="0"/>
        <w:spacing w:before="0" w:after="0"/>
        <w:jc w:val="center"/>
        <w:rPr>
          <w:rFonts w:ascii="Times New Roman" w:hAnsi="Times New Roman"/>
          <w:b/>
          <w:sz w:val="28"/>
        </w:rPr>
      </w:pPr>
      <w:r>
        <w:rPr>
          <w:rFonts w:ascii="Times New Roman" w:hAnsi="Times New Roman"/>
          <w:b/>
          <w:sz w:val="28"/>
        </w:rPr>
        <w:t xml:space="preserve">to </w:t>
      </w:r>
    </w:p>
    <w:p>
      <w:pPr>
        <w:pStyle w:val="TextBody"/>
        <w:bidi w:val="0"/>
        <w:spacing w:before="0" w:after="0"/>
        <w:jc w:val="center"/>
        <w:rPr>
          <w:rFonts w:ascii="Times New Roman" w:hAnsi="Times New Roman"/>
          <w:b/>
          <w:sz w:val="28"/>
        </w:rPr>
      </w:pPr>
      <w:r>
        <w:rPr>
          <w:rFonts w:ascii="Times New Roman" w:hAnsi="Times New Roman"/>
          <w:b/>
          <w:sz w:val="28"/>
        </w:rPr>
        <w:t xml:space="preserve">FORM S-1 ON </w:t>
      </w:r>
    </w:p>
    <w:p>
      <w:pPr>
        <w:pStyle w:val="TextBody"/>
        <w:bidi w:val="0"/>
        <w:spacing w:before="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IMAGENEBIO,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81-1697316</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7"/>
        </w:rPr>
      </w:pPr>
      <w:r>
        <w:rPr>
          <w:rFonts w:ascii="Times New Roman" w:hAnsi="Times New Roman"/>
          <w:b/>
          <w:sz w:val="17"/>
        </w:rPr>
        <w:t xml:space="preserve">Kristin Yarema, Ph.D.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120" w:after="0"/>
        <w:jc w:val="center"/>
        <w:rPr>
          <w:rFonts w:ascii="Times New Roman" w:hAnsi="Times New Roman"/>
          <w:b/>
          <w:sz w:val="17"/>
        </w:rPr>
      </w:pPr>
      <w:r>
        <w:rPr>
          <w:rFonts w:ascii="Times New Roman" w:hAnsi="Times New Roman"/>
          <w:b/>
          <w:sz w:val="17"/>
        </w:rPr>
        <w:t xml:space="preserve">Thomas A. Coll, Esq. </w:t>
      </w:r>
    </w:p>
    <w:p>
      <w:pPr>
        <w:pStyle w:val="TextBody"/>
        <w:bidi w:val="0"/>
        <w:spacing w:before="0" w:after="0"/>
        <w:jc w:val="center"/>
        <w:rPr>
          <w:rFonts w:ascii="Times New Roman" w:hAnsi="Times New Roman"/>
          <w:b/>
          <w:sz w:val="17"/>
        </w:rPr>
      </w:pPr>
      <w:r>
        <w:rPr>
          <w:rFonts w:ascii="Times New Roman" w:hAnsi="Times New Roman"/>
          <w:b/>
          <w:sz w:val="17"/>
        </w:rPr>
        <w:t xml:space="preserve">Asa M. Henin, Esq. </w:t>
      </w:r>
    </w:p>
    <w:p>
      <w:pPr>
        <w:pStyle w:val="TextBody"/>
        <w:bidi w:val="0"/>
        <w:spacing w:before="0" w:after="0"/>
        <w:jc w:val="center"/>
        <w:rPr>
          <w:rFonts w:ascii="Times New Roman" w:hAnsi="Times New Roman"/>
          <w:b/>
          <w:sz w:val="17"/>
        </w:rPr>
      </w:pPr>
      <w:r>
        <w:rPr>
          <w:rFonts w:ascii="Times New Roman" w:hAnsi="Times New Roman"/>
          <w:b/>
          <w:sz w:val="17"/>
        </w:rPr>
        <w:t xml:space="preserve">Dylan S. Kornbluth, Esq. </w:t>
      </w:r>
    </w:p>
    <w:p>
      <w:pPr>
        <w:pStyle w:val="TextBody"/>
        <w:bidi w:val="0"/>
        <w:spacing w:before="0" w:after="0"/>
        <w:jc w:val="center"/>
        <w:rPr>
          <w:rFonts w:ascii="Times New Roman" w:hAnsi="Times New Roman"/>
          <w:b/>
          <w:sz w:val="17"/>
        </w:rPr>
      </w:pPr>
      <w:r>
        <w:rPr>
          <w:rFonts w:ascii="Times New Roman" w:hAnsi="Times New Roman"/>
          <w:b/>
          <w:sz w:val="17"/>
        </w:rPr>
        <w:t xml:space="preserve">Brittany K. Wightman, Esq. </w:t>
      </w:r>
    </w:p>
    <w:p>
      <w:pPr>
        <w:pStyle w:val="TextBody"/>
        <w:bidi w:val="0"/>
        <w:spacing w:before="0" w:after="0"/>
        <w:jc w:val="center"/>
        <w:rPr>
          <w:rFonts w:ascii="Times New Roman" w:hAnsi="Times New Roman"/>
          <w:b/>
          <w:sz w:val="17"/>
        </w:rPr>
      </w:pPr>
      <w:r>
        <w:rPr>
          <w:rFonts w:ascii="Times New Roman" w:hAnsi="Times New Roman"/>
          <w:b/>
          <w:sz w:val="17"/>
        </w:rPr>
        <w:t xml:space="preserve">Cooley LLP </w:t>
      </w:r>
    </w:p>
    <w:p>
      <w:pPr>
        <w:pStyle w:val="TextBody"/>
        <w:bidi w:val="0"/>
        <w:spacing w:before="0" w:after="0"/>
        <w:jc w:val="center"/>
        <w:rPr>
          <w:rFonts w:ascii="Times New Roman" w:hAnsi="Times New Roman"/>
          <w:b/>
          <w:sz w:val="17"/>
        </w:rPr>
      </w:pPr>
      <w:r>
        <w:rPr>
          <w:rFonts w:ascii="Times New Roman" w:hAnsi="Times New Roman"/>
          <w:b/>
          <w:sz w:val="17"/>
        </w:rPr>
        <w:t xml:space="preserve">10265 Science Center Drive San Diego, CA 92121 </w:t>
      </w:r>
    </w:p>
    <w:p>
      <w:pPr>
        <w:pStyle w:val="TextBody"/>
        <w:bidi w:val="0"/>
        <w:spacing w:before="0" w:after="0"/>
        <w:jc w:val="center"/>
        <w:rPr>
          <w:rFonts w:ascii="Times New Roman" w:hAnsi="Times New Roman"/>
          <w:b/>
          <w:sz w:val="17"/>
        </w:rPr>
      </w:pPr>
      <w:r>
        <w:rPr>
          <w:rFonts w:ascii="Times New Roman" w:hAnsi="Times New Roman"/>
          <w:b/>
          <w:sz w:val="17"/>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7"/>
        </w:rPr>
      </w:pPr>
      <w:r>
        <w:rPr>
          <w:rFonts w:ascii="Times New Roman" w:hAnsi="Times New Roman"/>
          <w:b/>
          <w:sz w:val="17"/>
        </w:rPr>
        <w:t>Approximate date of commencement of proposed sale to the public</w:t>
      </w:r>
      <w:r>
        <w:rPr>
          <w:rFonts w:ascii="Times New Roman" w:hAnsi="Times New Roman"/>
          <w:sz w:val="17"/>
        </w:rPr>
        <w:t xml:space="preserve">: As soon as practicable after this registration statement becomes effective. </w:t>
      </w:r>
    </w:p>
    <w:p>
      <w:pPr>
        <w:pStyle w:val="TextBody"/>
        <w:bidi w:val="0"/>
        <w:spacing w:before="24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ImageneBio, Inc., a Delaware corporation (the “Company”), initially filed a Registration Statement on Form S-1 on September 8, 2025, which was declared effective on September 15, 2025, and was subsequently amended by Post-Effective Amendment No. 1, which was filed on April 2, 2026 (as amended,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2 to the Registration Statement is being filed by the Company to (i) convert the Registration Statement into a registration statement on Form S-3 (the “Post-Effective Amendment”), (ii) update certain information regarding the securities being offered pursuant to the prospectus contained herein, (iii) update information regarding the selling stockholders named in this prospectus, and (iv) update certain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filing amends the Registration Statement and the prospectus contained therein. No additional securities are being registered under this Post-Effective Amendment No. 2. All applicable registration fees were paid at the time of the original filing of the Registration Statement on September 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5,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1,371,224 Shares of Common Stock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128645" cy="11347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8645" cy="1134745"/>
                    </a:xfrm>
                    <a:prstGeom prst="rect">
                      <a:avLst/>
                    </a:prstGeom>
                  </pic:spPr>
                </pic:pic>
              </a:graphicData>
            </a:graphic>
          </wp:inline>
        </w:drawing>
      </w:r>
      <w:r>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resale by certain of the selling stockholders named in this prospectus (each, a “selling stockholder” and collectively, the “selling stockholders”) of 1,371,224 shares of voting common stock, par value $0.001 per share (“common stock”), issued in a private placement on July 25, 2025 (the “PIPE Financing”) pursuant to that certain Subscription Agreement (the “Subscription Agreement”) with certain investors.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offer and sale of these shares to satisfy certain registration rights we have granted.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of the proceeds from the sale of the shares of common stock by the selling stockholders. We will pay the expenses associated with registering the sales by the selling stockholders, as described in more detail in the section titled “Use of Proceeds” appearing elsewhere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sell the common stock described in this prospectus in a number of different ways and at varying prices. We provide more information about how the selling stockholders may sell their common stock in the section titled “Plan of Distribution” appearing elsewhere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sell any, all or none of the shares and we do not know when or in what amount the selling stockholders may sell their common stock hereunder following the effective date of this registration statement.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(“Nasdaq”) under the symbol “IMA.” On August 4, 2026, the last quoted sale price for our common stock as reported on Nasdaq was $5.71.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and a “smaller reporting company” as defined under the federal securities laws, and, as such, may elect to comply with certain reduced public company reporting requirements for future filings.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a high degree of risk. Before making an investment decision, you should review carefully the risks and uncertainties described in the section titled “</w:t>
      </w:r>
      <w:hyperlink w:anchor="tx342685_5">
        <w:r>
          <w:rPr>
            <w:rStyle w:val="InternetLink"/>
            <w:rFonts w:ascii="Times New Roman" w:hAnsi="Times New Roman"/>
            <w:b/>
            <w:sz w:val="24"/>
          </w:rPr>
          <w:t>Risk Factors</w:t>
        </w:r>
      </w:hyperlink>
      <w:r>
        <w:rPr>
          <w:rFonts w:ascii="Times New Roman" w:hAnsi="Times New Roman"/>
          <w:b/>
          <w:sz w:val="24"/>
        </w:rPr>
        <w:t xml:space="preserve">” on page 4 of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68"/>
        <w:gridCol w:w="60"/>
        <w:gridCol w:w="266"/>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1">
              <w:r>
                <w:rPr>
                  <w:rStyle w:val="InternetLink"/>
                  <w:rFonts w:ascii="Times New Roman" w:hAnsi="Times New Roman"/>
                  <w:b/>
                  <w:sz w:val="20"/>
                </w:rPr>
                <w:t>ABOUT THIS PROSPECTUS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ii</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2">
              <w:r>
                <w:rPr>
                  <w:rStyle w:val="InternetLink"/>
                  <w:rFonts w:ascii="Times New Roman" w:hAnsi="Times New Roman"/>
                  <w:b/>
                  <w:sz w:val="20"/>
                </w:rPr>
                <w:t>MARKET AND INDUSTRY DATA</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ii</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3">
              <w:r>
                <w:rPr>
                  <w:rStyle w:val="InternetLink"/>
                  <w:rFonts w:ascii="Times New Roman" w:hAnsi="Times New Roman"/>
                  <w:b/>
                  <w:sz w:val="20"/>
                </w:rPr>
                <w:t>TRADEMARKS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ii</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4">
              <w:r>
                <w:rPr>
                  <w:rStyle w:val="InternetLink"/>
                  <w:rFonts w:ascii="Times New Roman" w:hAnsi="Times New Roman"/>
                  <w:b/>
                  <w:sz w:val="20"/>
                </w:rPr>
                <w:t>PROSPECTUS SUMMARY</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5">
              <w:r>
                <w:rPr>
                  <w:rStyle w:val="InternetLink"/>
                  <w:rFonts w:ascii="Times New Roman" w:hAnsi="Times New Roman"/>
                  <w:b/>
                  <w:sz w:val="20"/>
                </w:rPr>
                <w:t>RISK FACTORS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6">
              <w:r>
                <w:rPr>
                  <w:rStyle w:val="InternetLink"/>
                  <w:rFonts w:ascii="Times New Roman" w:hAnsi="Times New Roman"/>
                  <w:b/>
                  <w:sz w:val="20"/>
                </w:rPr>
                <w:t>CAUTIONARY NOTE REGARDING FORWARD-LOOKING STATEMENTS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5</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7">
              <w:r>
                <w:rPr>
                  <w:rStyle w:val="InternetLink"/>
                  <w:rFonts w:ascii="Times New Roman" w:hAnsi="Times New Roman"/>
                  <w:b/>
                  <w:sz w:val="20"/>
                </w:rPr>
                <w:t>USE OF PROCEEDS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7</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8">
              <w:r>
                <w:rPr>
                  <w:rStyle w:val="InternetLink"/>
                  <w:rFonts w:ascii="Times New Roman" w:hAnsi="Times New Roman"/>
                  <w:b/>
                  <w:sz w:val="20"/>
                </w:rPr>
                <w:t>SELLING STOCKHOLDERS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8</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9">
              <w:r>
                <w:rPr>
                  <w:rStyle w:val="InternetLink"/>
                  <w:rFonts w:ascii="Times New Roman" w:hAnsi="Times New Roman"/>
                  <w:b/>
                  <w:sz w:val="20"/>
                </w:rPr>
                <w:t>PLAN OF DISTRIBUTION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11</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10">
              <w:r>
                <w:rPr>
                  <w:rStyle w:val="InternetLink"/>
                  <w:rFonts w:ascii="Times New Roman" w:hAnsi="Times New Roman"/>
                  <w:b/>
                  <w:sz w:val="20"/>
                </w:rPr>
                <w:t>LEGAL MATTERS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11">
              <w:r>
                <w:rPr>
                  <w:rStyle w:val="InternetLink"/>
                  <w:rFonts w:ascii="Times New Roman" w:hAnsi="Times New Roman"/>
                  <w:b/>
                  <w:sz w:val="20"/>
                </w:rPr>
                <w:t>EXPERTS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12">
              <w:r>
                <w:rPr>
                  <w:rStyle w:val="InternetLink"/>
                  <w:rFonts w:ascii="Times New Roman" w:hAnsi="Times New Roman"/>
                  <w:b/>
                  <w:sz w:val="20"/>
                </w:rPr>
                <w:t>WHERE YOU CAN FIND ADDITIONAL INFORMATION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x342685_13">
              <w:r>
                <w:rPr>
                  <w:rStyle w:val="InternetLink"/>
                  <w:rFonts w:ascii="Times New Roman" w:hAnsi="Times New Roman"/>
                  <w:b/>
                  <w:sz w:val="20"/>
                </w:rPr>
                <w:t>INCORPORATION OF CERTAIN INFORMATION BY REFERENCE</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in any free writing prospectus prepared by us or on our behalf. Neither we, nor the selling stockholders, have authorized any other person to provide you with different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4268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sell the shares of common stock offered by them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in this prospectus and your reliance on any unauthorized information or representation is at your own risk. We are not making an offer to sell these securities in any jurisdiction where the offer or sale is not permitted. You should assume that the information appearing in this prospectus is accurate only as of the date on the front cover of this prospectus and that any information in a supplement or amendment to this prospectus is accurate only as of the date of such supplement or amendment.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4" w:name="tx342685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industry and market data that we have obtained from industry and general publications, third-party research, studies and surveys, filings of public companies in their respective industries and related industry and internal company surveys. These sources include government and industry sources, which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We do not know all of the assumptions regarding general economic conditions or growth that were used in preparing the forecasts from the sources relied upon or cited herein. Assumptions and estimates of future performance are necessarily subject to a high degree of uncertainty and risk due to a variety of factors, including those described in “Risk Factors.” These and other factors could cause future performance to differ materially from our assumptions and estimates. See “Cautionary Note Regarding Forward-Looking Statements.” </w:t>
      </w:r>
    </w:p>
    <w:p>
      <w:pPr>
        <w:pStyle w:val="TextBody"/>
        <w:bidi w:val="0"/>
        <w:spacing w:before="480" w:after="0"/>
        <w:jc w:val="center"/>
        <w:rPr>
          <w:rFonts w:ascii="Times New Roman" w:hAnsi="Times New Roman"/>
          <w:b/>
          <w:sz w:val="20"/>
        </w:rPr>
      </w:pPr>
      <w:bookmarkStart w:id="5" w:name="tx342685_3"/>
      <w:bookmarkEnd w:id="5"/>
      <w:r>
        <w:rPr>
          <w:rFonts w:ascii="Times New Roman" w:hAnsi="Times New Roman"/>
          <w:b/>
          <w:sz w:val="20"/>
        </w:rPr>
        <w:t xml:space="preserve">TRADEMARKS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trade names and service marks appearing in this prospectus that are important to our business. This prospectus may also contain trade names, trademarks and service marks belonging to other companies that are the property of their respective owners. Solely for convenience, trademarks, trade names and service marks may appear in this prospectus without the  and ® symbols, but such references, or their failure to appear, should not be construed as any indicator that their respective owners will not assert, to the fullest extent under applicable law, their rights or the rights of the applicable licensors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342685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 the documents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therapeutics for patients with immunological, autoimmune and inflammatory diseases. Our lead asset, IMG-007, recently named olevaprubart, is a non-depleting anti-OX40 monoclonal antibody that binds specifically to OX40 receptor on activated T cells to block receptor binding to OX40 ligand (“OX40L”). Olevaprubart is being developed to potentially treat multiple autoimmune and inflammatory diseases and disorders, with initial evaluation in atopic dermatitis (“AD”) and alopecia areata (“AA”). OX40 signaling is thought to be important in driving the pathogenesis of a spectrum of immunological, autoimmune and inflammatory diseases, including additional dermatological diseases, respiratory, gastrointestinal, and rheumatic diseases. Olevaprubart is initially being developed for the treatment of AD and AA, and we believe it has further “pipeline within a product” potential. We may explore additional indications with olevaprubart such as asthma, rheumatoid arthritis, and hidradenitis suppurativa, among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State of Delaware in February 2016 under the name Kyn Therapeutics, Inc. We were the successor in interest to Kyn Therapeutics L.L.C., a limited liability company formed under the laws of the State of Texas in September 2014. In December 2019, we changed our name from Kyn Therapeutics, Inc. to Ikena Oncology, Inc. (“Ikena”). On July 25, 2025 (the “Closing Date”), we consummated the merger with Inmagene Biopharmaceuticals, an exempted company with limited liability incorporated and existing under the laws of the Cayman Islands (“Legacy Inmagene”) pursuant to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(“Merger Sub II”), and Legacy Inmagene.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on the Closing Date, (i) Ikena effected a 1-for-12 reverse stock split of Ikena’s issued common stock (the “Reverse Stock Split”), (ii) Merger Sub I merged with and into Legacy Inmagene (the “First Merger”), with Legacy Inmagene surviving the First Merger as a wholly owned subsidiary of Ikena, (iii) immediately following the First Merger, Legacy Inmagene merged with and into Merger Sub II (the “Second Merger” and, together with the First Merger, the “Merger”), with Merger Sub II surviving the Second Merger as a wholly owned subsidiary of Ikena, and (iv) following the Second Merger, Ikena changed its name to “ImageneBio, Inc.” As of the open of trading on July 28, 2025, our common stock began trading on Nasdaq under the symbol “IMA”.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12526 High Bluff Drive, Suite 345, San Diego, CA 92130, and our telephone number is (858) 345-6265.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imagenebio.com. Textual references and the information contained on, or that can be accessed through, our website are not a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or the context otherwise requires, the references in this prospectus to the “Company,” “we,” “our,” or “us” refer to Inmagene Biopharmaceuticals together with its consolidated subsidiaries for periods prior to the Merger and to ImageneBio, Inc. together with its consolidated subsidiaries for periods following the Merger; references to “Ikena” refer to Ikena Oncology, Inc. for periods prior to the Merger; and references to “Legacy Inmagene” refer to Inmagene Biopharmaceuticals together with its consolidated subsidiaries for periods prior to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We will remain an emerging growth company until December 31,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standards. This may make comparison of our financial statements with certain other public companies difficult or impossible because of the potential differences in accounting standards used.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a “smaller reporting company” as defined in Section 12b-2 of the Securities Exchange Act of 1934, as amended (the “Exchange Act”). We will be a smaller reporting company and may continue to take advantage of the scaled-back disclosures available to smaller reporting companies for so long as we remain a smaller reporting company under the rules of the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Hereunder </w:t>
            </w:r>
          </w:p>
        </w:tc>
        <w:tc>
          <w:tcPr>
            <w:tcW w:w="6327" w:type="dxa"/>
            <w:tcBorders/>
          </w:tcPr>
          <w:p>
            <w:pPr>
              <w:pStyle w:val="TableContents"/>
              <w:bidi w:val="0"/>
              <w:spacing w:before="0" w:after="283"/>
              <w:jc w:val="left"/>
              <w:rPr/>
            </w:pPr>
            <w:r>
              <w:rPr/>
              <w:t xml:space="preserve">We are registering the resale by the selling stockholders named in this prospectus, or their permitted transfers, of an aggregate of 1,371,224 shares of common stock issued in the PIPE Financing.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will not receive any proceeds from the sale of our shares of common stock offered by the selling stockholders under this prospectus. See the section titled “Use of Proceeds” appearing elsewhere in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6" w:type="dxa"/>
            <w:tcBorders/>
          </w:tcPr>
          <w:p>
            <w:pPr>
              <w:pStyle w:val="TableContents"/>
              <w:bidi w:val="0"/>
              <w:spacing w:before="0" w:after="283"/>
              <w:jc w:val="left"/>
              <w:rPr/>
            </w:pPr>
            <w:r>
              <w:rPr/>
              <w:t xml:space="preserve">See the section titled “Risk Factors” and other information included in this prospectus for a discussion of factors that you should consider carefully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7" w:type="dxa"/>
            <w:tcBorders/>
          </w:tcPr>
          <w:p>
            <w:pPr>
              <w:pStyle w:val="TableContents"/>
              <w:bidi w:val="0"/>
              <w:spacing w:before="0" w:after="283"/>
              <w:jc w:val="left"/>
              <w:rPr/>
            </w:pPr>
            <w:r>
              <w:rPr/>
              <w:t>“</w:t>
            </w:r>
            <w:r>
              <w:rPr/>
              <w:t xml:space="preserve">IMA”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42685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involves a high degree of risk. In addition to the risk and uncertainties described under the section titled “Cautionary Note Regarding Forward-Looking Statements,” you should consider carefully the risks and uncertainties described under the heading “Risk Factors” and under similar headings in our most recent Annual Report on Form 10-K and in our subsequent Quarterly Reports on Form 10-Q, and other reports and documents that are incorporated by reference into this prospectus before deciding whether to purchase any of our common stock being registered pursuant to the registration statement of which this prospectus is a part. Each of the risk factors could adversely affect our business, financial condition and operating results. In that event, the trading price of our common stock could decline, and you could lose all or part of your investment. Additional risks and uncertainties that we are unaware of, or that we currently believe are not material, may also become important factors that adversely affect our business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42685_6"/>
      <w:bookmarkEnd w:id="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the Private Securities Litigation Reform Act of 1995, that involve substantial risks and uncertainties. In some cases, you can identify forward-looking statements by the words “aim,” “anticipate,” “believe,” “continue,” “could,” “estimate,” “expect,” “intend,” “may,” “might,” “objective,” “ongoing,” “plan,” “predict,” “project,” “potential,” “seek,”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may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olevaprubart, including as compared to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our control and the potential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raise significant additional capital to proceed with the development and commercialization of olevaprubart and any future product candidates and to fund our 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potential of planned or ongoing clinical trials for olevaprubart, including the timing for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olevaprubart, including our plans to develop olevaprubart for additional immunological and inflammatory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surrounding the potential safety, efficacy, and regulatory and clinical progress of olevaprubart and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our current or future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olevaprubart, if approved, the rate and degree of market acceptance of olevaprubart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and validate new product candidates or additional indications for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planned use of cash and cash equivalents and the milestones we expect to fund with such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our cash runway, expenses, future revenues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internal controls and procedures and our plans and ability to remediate any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and plans regarding ongoing legal proceedings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that may be derived from the Merger, including the commercial or market opportunity of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our industry or the market opportunities for olevaprubart or any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economic and public health developments in the United States and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“Risk Factors” section herein and in the documents incorporated by reference herein for a discussion of material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342685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securities offered by the selling stockholders pursuant to this prospectus will be sold by the selling stockholders for their respective accounts. We will not receive any of the proceeds from the sale of our common stock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342685_8"/>
      <w:bookmarkEnd w:id="10"/>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each of the selling stockholders may have sold, transferred or otherwise disposed of all or a portion of its shares of common stock since the date on which it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Selling stockholder information for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11,279,130 shares outstanding as of July 15,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960"/>
        <w:gridCol w:w="211"/>
        <w:gridCol w:w="68"/>
        <w:gridCol w:w="1178"/>
        <w:gridCol w:w="60"/>
        <w:gridCol w:w="211"/>
        <w:gridCol w:w="65"/>
        <w:gridCol w:w="1095"/>
        <w:gridCol w:w="60"/>
        <w:gridCol w:w="211"/>
        <w:gridCol w:w="60"/>
        <w:gridCol w:w="1035"/>
        <w:gridCol w:w="60"/>
        <w:gridCol w:w="211"/>
        <w:gridCol w:w="77"/>
        <w:gridCol w:w="725"/>
        <w:gridCol w:w="285"/>
      </w:tblGrid>
      <w:tr>
        <w:trPr/>
        <w:tc>
          <w:tcPr>
            <w:tcW w:w="29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2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Common</w:t>
              <w:br/>
              <w:t>Stock</w:t>
              <w:br/>
              <w:t>Beneficially</w:t>
              <w:br/>
              <w:t>Owned</w:t>
              <w:br/>
              <w:t>Prior to</w:t>
            </w:r>
            <w:r>
              <w:rPr/>
              <w:br/>
            </w:r>
            <w:r>
              <w:rPr>
                <w:b/>
              </w:rPr>
              <w:t>Offering</w:t>
            </w:r>
          </w:p>
        </w:tc>
        <w:tc>
          <w:tcPr>
            <w:tcW w:w="60" w:type="dxa"/>
            <w:vMerge w:val="restart"/>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br/>
              <w:t>Shares of</w:t>
              <w:br/>
              <w:t>Common</w:t>
              <w:br/>
              <w:t>Stock</w:t>
              <w:br/>
              <w:t>Being</w:t>
            </w:r>
            <w:r>
              <w:rPr/>
              <w:br/>
            </w:r>
            <w:r>
              <w:rPr>
                <w:b/>
              </w:rPr>
              <w:t>Offered</w:t>
            </w:r>
          </w:p>
        </w:tc>
        <w:tc>
          <w:tcPr>
            <w:tcW w:w="60" w:type="dxa"/>
            <w:vMerge w:val="restart"/>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168"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br/>
              <w:t>Beneficially</w:t>
              <w:br/>
              <w:t>Owned After the</w:t>
              <w:br/>
              <w:t>Offered Shares of</w:t>
              <w:br/>
              <w:t>Common Stock</w:t>
            </w:r>
            <w:r>
              <w:rPr/>
              <w:br/>
            </w:r>
            <w:r>
              <w:rPr>
                <w:b/>
              </w:rPr>
              <w:t>are Sold</w:t>
            </w:r>
          </w:p>
        </w:tc>
        <w:tc>
          <w:tcPr>
            <w:tcW w:w="285" w:type="dxa"/>
            <w:tcBorders/>
            <w:vAlign w:val="bottom"/>
          </w:tcPr>
          <w:p>
            <w:pPr>
              <w:pStyle w:val="TableContents"/>
              <w:bidi w:val="0"/>
              <w:spacing w:before="0" w:after="283"/>
              <w:jc w:val="left"/>
              <w:rPr/>
            </w:pPr>
            <w:r>
              <w:rPr/>
              <w:t> </w:t>
            </w:r>
          </w:p>
        </w:tc>
      </w:tr>
      <w:tr>
        <w:trPr/>
        <w:tc>
          <w:tcPr>
            <w:tcW w:w="2960" w:type="dxa"/>
            <w:tcBorders/>
            <w:vAlign w:val="bottom"/>
          </w:tcPr>
          <w:p>
            <w:pPr>
              <w:pStyle w:val="TableContents"/>
              <w:bidi w:val="0"/>
              <w:spacing w:before="0" w:after="283"/>
              <w:jc w:val="left"/>
              <w:rPr>
                <w:b/>
              </w:rPr>
            </w:pPr>
            <w:r>
              <w:rPr>
                <w:b/>
              </w:rPr>
              <w:t>Name of Selling stockholder</w:t>
            </w:r>
          </w:p>
        </w:tc>
        <w:tc>
          <w:tcPr>
            <w:tcW w:w="211" w:type="dxa"/>
            <w:vMerge w:val="continue"/>
            <w:tcBorders/>
            <w:vAlign w:val="bottom"/>
          </w:tcPr>
          <w:p>
            <w:pPr>
              <w:pStyle w:val="Normal"/>
              <w:bidi w:val="0"/>
              <w:jc w:val="left"/>
              <w:rPr/>
            </w:pPr>
            <w:r>
              <w:rPr/>
            </w:r>
          </w:p>
        </w:tc>
        <w:tc>
          <w:tcPr>
            <w:tcW w:w="12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1" w:type="dxa"/>
            <w:vMerge w:val="continue"/>
            <w:tcBorders>
              <w:bottom w:val="single" w:sz="8" w:space="0" w:color="000000"/>
            </w:tcBorders>
            <w:tcMar>
              <w:bottom w:w="28" w:type="dxa"/>
            </w:tcMar>
            <w:vAlign w:val="bottom"/>
          </w:tcPr>
          <w:p>
            <w:pPr>
              <w:pStyle w:val="Normal"/>
              <w:bidi w:val="0"/>
              <w:jc w:val="left"/>
              <w:rPr/>
            </w:pPr>
            <w:r>
              <w:rPr/>
            </w:r>
          </w:p>
        </w:tc>
        <w:tc>
          <w:tcPr>
            <w:tcW w:w="116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1"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5" w:type="dxa"/>
            <w:tcBorders/>
            <w:vAlign w:val="bottom"/>
          </w:tcPr>
          <w:p>
            <w:pPr>
              <w:pStyle w:val="TableContents"/>
              <w:bidi w:val="0"/>
              <w:spacing w:before="0" w:after="283"/>
              <w:jc w:val="left"/>
              <w:rPr/>
            </w:pPr>
            <w:r>
              <w:rPr/>
              <w:t> </w:t>
            </w:r>
          </w:p>
        </w:tc>
      </w:tr>
      <w:tr>
        <w:trPr/>
        <w:tc>
          <w:tcPr>
            <w:tcW w:w="2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Blue Owl(1)</w:t>
            </w:r>
          </w:p>
        </w:tc>
        <w:tc>
          <w:tcPr>
            <w:tcW w:w="21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217,389</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217,389</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BVF(2)</w:t>
            </w:r>
          </w:p>
        </w:tc>
        <w:tc>
          <w:tcPr>
            <w:tcW w:w="21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1,128,648</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468,223</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1,170,726</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9.91</w:t>
            </w:r>
          </w:p>
        </w:tc>
        <w:tc>
          <w:tcPr>
            <w:tcW w:w="285" w:type="dxa"/>
            <w:tcBorders/>
            <w:vAlign w:val="bottom"/>
          </w:tcPr>
          <w:p>
            <w:pPr>
              <w:pStyle w:val="TableContents"/>
              <w:bidi w:val="0"/>
              <w:spacing w:before="0" w:after="283"/>
              <w:jc w:val="left"/>
              <w:rPr/>
            </w:pPr>
            <w:r>
              <w:rPr/>
              <w:t>% </w:t>
            </w:r>
          </w:p>
        </w:tc>
      </w:tr>
      <w:tr>
        <w:trPr/>
        <w:tc>
          <w:tcPr>
            <w:tcW w:w="2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Omega Fund VI, L.P.(3)</w:t>
            </w:r>
          </w:p>
        </w:tc>
        <w:tc>
          <w:tcPr>
            <w:tcW w:w="21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936,222</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267,556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668,666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5.69</w:t>
            </w:r>
          </w:p>
        </w:tc>
        <w:tc>
          <w:tcPr>
            <w:tcW w:w="285" w:type="dxa"/>
            <w:tcBorders/>
            <w:shd w:fill="CCEEFF" w:val="clear"/>
            <w:vAlign w:val="bottom"/>
          </w:tcPr>
          <w:p>
            <w:pPr>
              <w:pStyle w:val="TableContents"/>
              <w:bidi w:val="0"/>
              <w:spacing w:before="0" w:after="283"/>
              <w:jc w:val="left"/>
              <w:rPr/>
            </w:pPr>
            <w:r>
              <w:rPr/>
              <w:t>% </w:t>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OrbiMed Advisors LLC(4)</w:t>
            </w:r>
          </w:p>
        </w:tc>
        <w:tc>
          <w:tcPr>
            <w:tcW w:w="21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1,630,940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83,611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1,547,329</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12.89</w:t>
            </w:r>
          </w:p>
        </w:tc>
        <w:tc>
          <w:tcPr>
            <w:tcW w:w="285" w:type="dxa"/>
            <w:tcBorders/>
            <w:vAlign w:val="bottom"/>
          </w:tcPr>
          <w:p>
            <w:pPr>
              <w:pStyle w:val="TableContents"/>
              <w:bidi w:val="0"/>
              <w:spacing w:before="0" w:after="283"/>
              <w:jc w:val="left"/>
              <w:rPr/>
            </w:pPr>
            <w:r>
              <w:rPr/>
              <w:t>% </w:t>
            </w:r>
          </w:p>
        </w:tc>
      </w:tr>
      <w:tr>
        <w:trPr/>
        <w:tc>
          <w:tcPr>
            <w:tcW w:w="2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RTW Master Fund, Ltd.(5)</w:t>
            </w:r>
          </w:p>
        </w:tc>
        <w:tc>
          <w:tcPr>
            <w:tcW w:w="21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334,445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334,445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Total Shares</w:t>
            </w:r>
          </w:p>
        </w:tc>
        <w:tc>
          <w:tcPr>
            <w:tcW w:w="21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1,371,224</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217,389 shares of common stock purchased by Blue Owl Healthcare Opportunities IV Public Investments LP (“Blue Owl Healthcare”) in the PIPE Financing. Blue Owl Healthcare Opportunities Advisors LLC is the investment manager of Blue Owl Healthcare and has voting and investment power over the securities held by Blue Owl Healthcare. Blue Owl Healthcare Opportunities Advisors LLC exercises voting and investment power through an investment committee comprised of Kevin Raidy, Timothy Anderson, Sandip Agarwala, and Brandyn Itzkowitz, who each disclaims beneficial ownership over these securities. The address for Blue Owl Healthcare Opportunities Advisors LLC is c/o 399 Park Avenue, 38th Floor,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an aggregate of 468,223 shares of common stock issued to entities affiliated with Biotechnology Value Fund, L.P. (“BVF”) upon the closing of the PIPE Financing, of which 243,528 were issued to BVF, 186,504 were issued to Biotechnology Value Fund II, L.P. (“BVF2”), 27,181 were issued to Biotechnology Value Trading Fund OS LP (“Trading Fund OS”) and 11,010 were issued to MSI BVF SPV, LLC (“MSI”), and (ii) (a) 349,661 shares of common stock and 18,646 shares of common stock issuable upon the exercise of pre-funded warrants held by BVF; (b) 246,765 shares of common stock held by BVF2; (c) 39,627 shares of common stock held by Trading Fund OS; and (d) 5,726 share of common stock held by MSI and excludes (w) 257,440 shares of common stock issuable upon the exercise of pre-funded warrants held by BVF; (x) 209,416 shares of common stock issuable upon the exercise of pre-funded warrants held by BVF2; (y) 34,835 shares of common stock issuable upon the exercise of pre-funded warrants held by Trading Fund OS; and (z) 8,610 shares of common stock issuable upon the exercise of pre-funded warrants held by MSI. Shares of our common stock beneficially owned after the offering represents the shares described in (ii), including those excluded in subparts (w), (x), (y) and (z). BVF I GP LLC (“BVF GP”), as the general partner of BVF, may be deemed to beneficially own the shares beneficially owned by BVF. BVF II GP LLC (“BVF2 GP”), as the general partner of BVF2, may be deemed to beneficially own the shares beneficially owned by BVF2. Partners OS, as the general partner of Trading Fund OS, may be deemed to beneficially own the shares beneficially owned by Trading Fund OS. BVF GPH, as the sole member of each of BVF GP and BVF2 GP, may be deemed to beneficially own the shares beneficially owned in the aggregate by BVF and BVF2. Partners, as the investment manager of BVF, BVF2, Trading Fund OS and MSI, beneficially owns the shares beneficially owned in the aggregate by BVF, BVF2 and Trading Fund OS and held in the Partners Managed Account, including 16,736 shares held in the Partners Managed Account, and any shares held by MSI upon the closing of the PIPE Financing. BVF Inc., as the general partner of Partners, may be deemed to beneficially own the shares beneficially owned by Partners. Mark N.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The address of the principal business office of BVF, BVF GP, BVF2, BVF2 GP, BVF GPH, MSI and Partners is 44 Montgomery St., 40th Floor, San Francisco, California 94104 and the address of the principal business office of Trading Fund OS and Partners OS is PO Box 309 Ugland House, Grand Cayman, KY1-1104,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267,556 shares of common stock issued to Omega Fund VI, L.P. (“Omega Fund”) upon the closing of the PIPE Financing; (ii) (a) 187,426 shares of common stock and (b) 480,861 shares of common stock issuable upon the exercise of pre-funded warrants held by Omega Fund; and (iii) 379 shares of common stock held by Otello Stampacchia, a member of our Board. Shares of our common stock beneficially owned after the offering represents the shares described in (ii) and (iii). Omega Fund VI GP Manager, Ltd. (“Omega Ltd.”) is the sole general partner of Omega Fund VI GP, L.P. (“Omega GP”), which is the sole general partner of Omega Fund VI, L.P. (“Omega Fund”); and each of Omega Ltd. and Omega GP may be deemed to own beneficially the shares held by Omega Fund. Claudio Nessi and Dr. Stampacchia are the directors of Omega Ltd. and, as a result, may be deemed to share voting and investment power over the shares held directly by Omega Fund. Each of Dr. Nessi, Dr. Stampacchia, Omega Ltd. and Omega GP disclaim beneficial ownership of the shares held by Omega Fund except to the extent of their pecuniary interest therein. The principal business address of Omega Fund is 888 Boylston Street, Suite 1111, Boston, MA 02199.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83,611 shares of common stock issued to OrbiMed Private Investments VI, LP (“OPI VI”), upon the closing of the PIPE Financing, (ii) (a) 669,451 shares of common stock and 336,603 shares of common stock issuable upon the exercise of pre-funded warrants held by OPI VI; (b) 20,691 shares of common stock and 384,689 shares of common stock issuable upon the exercise of pre-funded warrants held by OrbiMed Genesis Master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L.P. (“Genesis”); and (c) 135,516 shares of common stock held by Worldwide Healthcare Trust PLC (“WWH”) and (iii) 379 shares of common stock held by David Bonita, a member of our Board. Shares of our common stock beneficially owned after the offering represents the shares described in (ii) and (iii). Furthermore, pursuant to an agreement between Dr. Bonita and OPI VI, OPI VI, has sole voting and dispositive power over any shares of common stock held by Dr. Bonita. OrbiMed Capital GP VI LLC (“GP VI”) is the general partner of OPI VI, and OrbiMed Advisors LLC (“Advisors”) is the managing member of GP VI. By virtue of such relationships, GP VI and Advisors may be deemed to have voting power and investment power over the securities held by OPI VI and as a result, may be deemed to have beneficial ownership over such securities. OrbiMed Genesis GP LLC (“Genesis GP”) is the general partner of Genesis. Advisors is the managing member of Genesis GP. Advisors exercises voting and investment power through a management committee comprised of Carl L. Gordon, Sven H. Borho, and W. Carter Neild, each of whom disclaims beneficial ownership of the shares held by OPI VI. Advisors exercises investment and voting power through a management committee comprised of Carl L. Gordon, Sven H. Borho and W. Carter Neild, each of whom disclaims beneficial ownership of the shares held by Genesis, except to the extent of its or his pecuniary interest therein if any. OrbiMed Capital LLC (“OrbiMed Capital”) is the portfolio manager of WWH. OrbiMed Capital exercises investment and voting power through a management committee comprised of Carl L. Gordon, Sven H. Borho and W. Carter Neild, each of whom disclaims beneficial ownership of the shares held by WWH, except to the extent of its or his pecuniary interest therein if any. The principal business address of each of these entities and individuals is c/o OrbiMed Advisors LLC,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11,169 shares of common stock held by RTW Biotech Opportunities Operating Ltd.; (ii) 142,815 shares of common stock held by RTW Innovation Master Fund, Ltd.; and (iii) 180,461 shares of common stock held by RTW Master Fund, Ltd, each of which were issued upon the closing of the PIPE Financing. RTW Investments, LP (“RTW”), in its capacity as the investment manager of RTW Biotech Opportunities Operating Ltd., RTW Innovation Master Fund, Ltd., and RTW Master Fund, Ltd. (each an “RTW Fund” and together,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w:t>
            </w:r>
          </w:p>
        </w:tc>
      </w:tr>
    </w:tbl>
    <w:p>
      <w:pPr>
        <w:pStyle w:val="TextBody"/>
        <w:bidi w:val="0"/>
        <w:spacing w:before="12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rPr>
        <w:t>Certain Relationships, Related Party and Other Transactions</w:t>
      </w:r>
      <w:r>
        <w:rPr>
          <w:rFonts w:ascii="Times New Roman" w:hAnsi="Times New Roman"/>
          <w:sz w:val="20"/>
        </w:rPr>
        <w:t xml:space="preserve">” in the documents incorporated by reference herein for information regarding material relationships with our selling stockholders within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342685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and any of their pledgees, assignees, donees, transferees or other successors-in-interest may, from time to time, sell, transfer or otherwise dispose of any or all of their shares of common stock covered hereby on the principal trading market or any other stock exchange, market or trading facility on which our common stock is traded or in private transactions. These sales may be at fixed or negotiated prices. A selling stockholder may use any one or more of the following methods when selling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of common stock under Rule 144 or any other exemption from registration under the Securities Act, if available, rather than under this prospectus. 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shares of common stock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of common stock short and deliver these shares to close out their short positions, or loan or pledge the shares to broker-dealers that in turn may sell these shares.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shares such broker-dealer or other financial institution may resell pursuant to this prospectus (as supplemented or amended to reflect such transaction). The selling stockholders also may transfer the shares of common stock in other circumstances, in which case the transferees, pledgees, donees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shares of common stock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selling stockholder has informed us that it does not have any written or oral agreement or understanding, directly or indirectly, with any person to distribute the shares.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shares. We have agreed to indemnify the selling stockholders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earlier of the date that the shares (i) have been sold, pursuant to this prospectus or pursuant to Rule 144, or (ii) the date on which the shares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shares of common stock will be sold only through registered or licensed brokers or dealers if required under applicable state securities laws. In addition, in certain states, the shares of common stock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shares of common stock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342685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will pass upon the validity of the securities offered hereby. </w:t>
      </w:r>
    </w:p>
    <w:p>
      <w:pPr>
        <w:pStyle w:val="TextBody"/>
        <w:bidi w:val="0"/>
        <w:spacing w:before="480" w:after="0"/>
        <w:jc w:val="center"/>
        <w:rPr>
          <w:rFonts w:ascii="Times New Roman" w:hAnsi="Times New Roman"/>
          <w:b/>
          <w:sz w:val="20"/>
        </w:rPr>
      </w:pPr>
      <w:bookmarkStart w:id="13" w:name="tx342685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 not generating any revenue from product sales and incurring operating losses and negative cash flows from operations since inception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4" w:name="tx342685_12"/>
      <w:bookmarkEnd w:id="1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we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imagenebio.com/investors,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website addresses for the SEC and us are inactive textual references and except as specifically incorporated by reference into this prospectus, information on, or accessible through, those websites are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the Company,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ImageneBio, Inc. </w:t>
      </w:r>
    </w:p>
    <w:p>
      <w:pPr>
        <w:pStyle w:val="TextBody"/>
        <w:bidi w:val="0"/>
        <w:spacing w:before="0" w:after="0"/>
        <w:jc w:val="center"/>
        <w:rPr>
          <w:rFonts w:ascii="Times New Roman" w:hAnsi="Times New Roman"/>
          <w:sz w:val="20"/>
        </w:rPr>
      </w:pPr>
      <w:r>
        <w:rPr>
          <w:rFonts w:ascii="Times New Roman" w:hAnsi="Times New Roman"/>
          <w:sz w:val="20"/>
        </w:rPr>
        <w:t xml:space="preserve">12526 High Bluff Drive </w:t>
      </w:r>
    </w:p>
    <w:p>
      <w:pPr>
        <w:pStyle w:val="TextBody"/>
        <w:bidi w:val="0"/>
        <w:spacing w:before="0" w:after="0"/>
        <w:jc w:val="center"/>
        <w:rPr>
          <w:rFonts w:ascii="Times New Roman" w:hAnsi="Times New Roman"/>
          <w:sz w:val="20"/>
        </w:rPr>
      </w:pPr>
      <w:r>
        <w:rPr>
          <w:rFonts w:ascii="Times New Roman" w:hAnsi="Times New Roman"/>
          <w:sz w:val="20"/>
        </w:rPr>
        <w:t xml:space="preserve">Suite 345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92130 </w:t>
      </w:r>
    </w:p>
    <w:p>
      <w:pPr>
        <w:pStyle w:val="TextBody"/>
        <w:bidi w:val="0"/>
        <w:spacing w:before="0" w:after="0"/>
        <w:jc w:val="center"/>
        <w:rPr>
          <w:rFonts w:ascii="Times New Roman" w:hAnsi="Times New Roman"/>
          <w:sz w:val="20"/>
        </w:rPr>
      </w:pPr>
      <w:r>
        <w:rPr>
          <w:rFonts w:ascii="Times New Roman" w:hAnsi="Times New Roman"/>
          <w:sz w:val="20"/>
        </w:rPr>
        <w:t xml:space="preserve">(858) 345-6265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42685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March 10, 2026</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2025 Annual Report from our definitive proxy statement on Schedule 14A, filed with the SEC on </w:t>
            </w:r>
            <w:hyperlink r:id="rId4">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w:t>
            </w:r>
            <w:hyperlink r:id="rId6">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17, 2026</w:t>
              </w:r>
            </w:hyperlink>
            <w:r>
              <w:rPr>
                <w:rFonts w:ascii="Times New Roman" w:hAnsi="Times New Roman"/>
                <w:sz w:val="20"/>
              </w:rPr>
              <w:t xml:space="preserve">, </w:t>
            </w:r>
            <w:hyperlink r:id="rId8">
              <w:r>
                <w:rPr>
                  <w:rStyle w:val="InternetLink"/>
                  <w:rFonts w:ascii="Times New Roman" w:hAnsi="Times New Roman"/>
                  <w:sz w:val="20"/>
                </w:rPr>
                <w:t>March  17, 2026</w:t>
              </w:r>
            </w:hyperlink>
            <w:r>
              <w:rPr>
                <w:rFonts w:ascii="Times New Roman" w:hAnsi="Times New Roman"/>
                <w:sz w:val="20"/>
              </w:rPr>
              <w:t xml:space="preserve">, </w:t>
            </w:r>
            <w:hyperlink r:id="rId9">
              <w:r>
                <w:rPr>
                  <w:rStyle w:val="InternetLink"/>
                  <w:rFonts w:ascii="Times New Roman" w:hAnsi="Times New Roman"/>
                  <w:sz w:val="20"/>
                </w:rPr>
                <w:t>April  13,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26, 2026</w:t>
              </w:r>
            </w:hyperlink>
            <w:r>
              <w:rPr>
                <w:rFonts w:ascii="Times New Roman" w:hAnsi="Times New Roman"/>
                <w:sz w:val="20"/>
              </w:rPr>
              <w:t xml:space="preserve"> and </w:t>
            </w:r>
            <w:hyperlink r:id="rId12">
              <w:r>
                <w:rPr>
                  <w:rStyle w:val="InternetLink"/>
                  <w:rFonts w:ascii="Times New Roman" w:hAnsi="Times New Roman"/>
                  <w:sz w:val="20"/>
                </w:rPr>
                <w:t>July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filed as </w:t>
            </w:r>
            <w:hyperlink r:id="rId13">
              <w:r>
                <w:rPr>
                  <w:rStyle w:val="InternetLink"/>
                  <w:rFonts w:ascii="Times New Roman" w:hAnsi="Times New Roman"/>
                  <w:sz w:val="20"/>
                </w:rPr>
                <w:t>Exhibit 4.4</w:t>
              </w:r>
            </w:hyperlink>
            <w:r>
              <w:rPr>
                <w:rFonts w:ascii="Times New Roman" w:hAnsi="Times New Roman"/>
                <w:sz w:val="20"/>
              </w:rPr>
              <w:t xml:space="preserve"> to the 2025 Annual Report,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ImageneBio, Inc., 12526 High Bluff Drive, Suite 345, San Diego, CA 92130 (858) 345-6265, Attn: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expenses to be paid by the Registrant, other than underwriting discounts and commissions, in connection with this offering. All amounts shown are estimates except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1"/>
        <w:gridCol w:w="449"/>
        <w:gridCol w:w="156"/>
        <w:gridCol w:w="959"/>
        <w:gridCol w:w="204"/>
      </w:tblGrid>
      <w:tr>
        <w:trPr/>
        <w:tc>
          <w:tcPr>
            <w:tcW w:w="5171"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3,214</w:t>
            </w:r>
          </w:p>
        </w:tc>
        <w:tc>
          <w:tcPr>
            <w:tcW w:w="204" w:type="dxa"/>
            <w:tcBorders/>
            <w:shd w:fill="CCEEFF" w:val="clear"/>
            <w:vAlign w:val="bottom"/>
          </w:tcPr>
          <w:p>
            <w:pPr>
              <w:pStyle w:val="TableContents"/>
              <w:bidi w:val="0"/>
              <w:spacing w:before="0" w:after="283"/>
              <w:jc w:val="left"/>
              <w:rPr/>
            </w:pPr>
            <w:r>
              <w:rPr/>
              <w:t>* </w:t>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4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75,000</w:t>
            </w:r>
          </w:p>
        </w:tc>
        <w:tc>
          <w:tcPr>
            <w:tcW w:w="204" w:type="dxa"/>
            <w:tcBorders/>
            <w:vAlign w:val="bottom"/>
          </w:tcPr>
          <w:p>
            <w:pPr>
              <w:pStyle w:val="TableContents"/>
              <w:bidi w:val="0"/>
              <w:spacing w:before="0" w:after="283"/>
              <w:jc w:val="left"/>
              <w:rPr/>
            </w:pPr>
            <w:r>
              <w:rPr/>
              <w:t> </w:t>
            </w:r>
          </w:p>
        </w:tc>
      </w:tr>
      <w:tr>
        <w:trPr/>
        <w:tc>
          <w:tcPr>
            <w:tcW w:w="5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25,000</w:t>
            </w:r>
          </w:p>
        </w:tc>
        <w:tc>
          <w:tcPr>
            <w:tcW w:w="204" w:type="dxa"/>
            <w:tcBorders/>
            <w:shd w:fill="CCEEFF" w:val="clear"/>
            <w:vAlign w:val="bottom"/>
          </w:tcPr>
          <w:p>
            <w:pPr>
              <w:pStyle w:val="TableContents"/>
              <w:bidi w:val="0"/>
              <w:spacing w:before="0" w:after="283"/>
              <w:jc w:val="left"/>
              <w:rPr/>
            </w:pPr>
            <w:r>
              <w:rPr/>
              <w:t> </w:t>
            </w:r>
          </w:p>
        </w:tc>
      </w:tr>
      <w:tr>
        <w:trPr/>
        <w:tc>
          <w:tcPr>
            <w:tcW w:w="5171"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4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7,500</w:t>
            </w:r>
          </w:p>
        </w:tc>
        <w:tc>
          <w:tcPr>
            <w:tcW w:w="204" w:type="dxa"/>
            <w:tcBorders/>
            <w:vAlign w:val="bottom"/>
          </w:tcPr>
          <w:p>
            <w:pPr>
              <w:pStyle w:val="TableContents"/>
              <w:bidi w:val="0"/>
              <w:spacing w:before="0" w:after="283"/>
              <w:jc w:val="left"/>
              <w:rPr/>
            </w:pPr>
            <w:r>
              <w:rPr/>
              <w:t> </w:t>
            </w:r>
          </w:p>
        </w:tc>
      </w:tr>
      <w:tr>
        <w:trPr/>
        <w:tc>
          <w:tcPr>
            <w:tcW w:w="5171"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5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107,500</w:t>
            </w:r>
          </w:p>
        </w:tc>
        <w:tc>
          <w:tcPr>
            <w:tcW w:w="204" w:type="dxa"/>
            <w:tcBorders/>
            <w:shd w:fill="CCEEFF" w:val="clear"/>
            <w:vAlign w:val="bottom"/>
          </w:tcPr>
          <w:p>
            <w:pPr>
              <w:pStyle w:val="TableContents"/>
              <w:bidi w:val="0"/>
              <w:spacing w:before="0" w:after="283"/>
              <w:jc w:val="left"/>
              <w:rPr/>
            </w:pPr>
            <w:r>
              <w:rPr/>
              <w:t> </w:t>
            </w:r>
          </w:p>
        </w:tc>
      </w:tr>
      <w:tr>
        <w:trPr/>
        <w:tc>
          <w:tcPr>
            <w:tcW w:w="5171"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fee of $3,214 was previously paid with respect to the Registration Statement (No. 333-290108) relating to the securities that were included in such registration statement and that are included in this Post-Effective Amendment. Accordingly, there is no registration fee due in connection with the registration of such securities 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General Corporation Law of the State of Delaware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certificate of incorporation and amended and restated bylaws limit or eliminate the personal liability of its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Registrant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Registrant’s amended and restated bylaws provide that the Registrant will indemnify its directors, officers and, in the discretion of the Registrant’s board of directors (“Board”), certain employees to the fullest extent permitted by the DGCL, as it now exists or may in the future be amended;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will advance expenses, including attorneys’ fees, to its directors and, in the discretion of its Board, to its officers and certain employees, in connection with legal proceedings relating to their service for or on behalf of the Registrant,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and intends to continue to enter into separate indemnification agreements with its directors and executive officers. These agreements provide that the Registrant will indemnify each of the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its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general liability insurance which covers certain liabilities of the Registrant’s directors and officers arising out of claims based on acts or omissions in their capacities as directors or officers, including liabilities under the Securities Act. The limitation of liability and indemnification provisions in the Registrant’s charter and bylaws may discourage stockholders from bringing a lawsuit against directors for breach of their fiduciary duties. They may also reduce the likelihood of derivative litigation against directors and officers, even though an action, if successful, might benefit the Registrant and its stockholders. A stockholder’s investment may be harmed to the extent the Registrant pays the costs of settlement and damage awards against directors and officers pursuant to these indemnification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6"/>
        <w:gridCol w:w="402"/>
        <w:gridCol w:w="8927"/>
      </w:tblGrid>
      <w:tr>
        <w:trPr/>
        <w:tc>
          <w:tcPr>
            <w:tcW w:w="87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8927"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bottom"/>
          </w:tcPr>
          <w:p>
            <w:pPr>
              <w:pStyle w:val="TableContents"/>
              <w:bidi w:val="0"/>
              <w:spacing w:before="0" w:after="283"/>
              <w:jc w:val="center"/>
              <w:rPr>
                <w:b/>
              </w:rPr>
            </w:pPr>
            <w:r>
              <w:rPr>
                <w:b/>
              </w:rPr>
              <w:t xml:space="preserve">Exhibit </w:t>
              <w:br/>
              <w:t>Number</w:t>
            </w:r>
          </w:p>
        </w:tc>
        <w:tc>
          <w:tcPr>
            <w:tcW w:w="402" w:type="dxa"/>
            <w:tcBorders/>
            <w:vAlign w:val="bottom"/>
          </w:tcPr>
          <w:p>
            <w:pPr>
              <w:pStyle w:val="TableContents"/>
              <w:bidi w:val="0"/>
              <w:spacing w:before="0" w:after="283"/>
              <w:jc w:val="left"/>
              <w:rPr/>
            </w:pPr>
            <w:r>
              <w:rPr/>
              <w:t>  </w:t>
            </w:r>
          </w:p>
        </w:tc>
        <w:tc>
          <w:tcPr>
            <w:tcW w:w="8927" w:type="dxa"/>
            <w:tcBorders/>
            <w:vAlign w:val="bottom"/>
          </w:tcPr>
          <w:p>
            <w:pPr>
              <w:pStyle w:val="TableContents"/>
              <w:bidi w:val="0"/>
              <w:spacing w:before="0" w:after="283"/>
              <w:jc w:val="left"/>
              <w:rPr>
                <w:b/>
              </w:rPr>
            </w:pPr>
            <w:r>
              <w:rPr>
                <w:b/>
              </w:rPr>
              <w:t>Description</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2.1+</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4">
              <w:r>
                <w:rPr>
                  <w:rStyle w:val="InternetLink"/>
                </w:rPr>
                <w:t>Agreement and Plan of Merger, dated December  23, 2024, by and among the Registrant, Insight Merger Sub I, Insight Merger Sub II, and Inmagene Biopharmaceuticals (incorporated by reference to Exhibit 2.1 to the Registrant’s Current Report on Form 8-K (File No. 001-40287) filed with the SEC on December 23, 2024).</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5">
              <w:r>
                <w:rPr>
                  <w:rStyle w:val="InternetLink"/>
                </w:rPr>
                <w:t>Fifth Amended and Restated Certificate of Incorporation of the Registrant (incorporated by reference to Exhibit 3.1 to the Registrant’s Current Report on Form 8-K (File No. 001-40287) filed with the SEC on March 30, 2021).</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4.2</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6">
              <w:r>
                <w:rPr>
                  <w:rStyle w:val="InternetLink"/>
                </w:rPr>
                <w:t>Certificate of Amendment to the Fifth Amended and Restated Certificate of Incorporation of the Registrant, dated July  25, 2025 (Stock Split Amendment) (incorporated by reference to Exhibit 3.1 to the Registrant’s Current Report on Form 8-K (File No.  001-40287) filed with the SEC on July 29,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4.3</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7">
              <w:r>
                <w:rPr>
                  <w:rStyle w:val="InternetLink"/>
                </w:rPr>
                <w:t>Certificate of Amendment to the Fifth Amended and Restated Certificate of Incorporation of the Registrant, dated July  25, 2025 (Name Change Amendment) (incorporated by reference to Exhibit 3.2 to the Registrant’s Current Report on Form 8-K (File No.  001-40287) filed with the SEC on July 29,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4.4</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8">
              <w:r>
                <w:rPr>
                  <w:rStyle w:val="InternetLink"/>
                </w:rPr>
                <w:t>Amended and Restated Bylaws of the Registrant (incorporated by reference to Exhibit 3.2 to the Registrant’s Current Report on Form 8-K (File No. 001-40287) filed with the SEC on March 30, 2021).</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4.5</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19">
              <w:r>
                <w:rPr>
                  <w:rStyle w:val="InternetLink"/>
                </w:rPr>
                <w:t>Registration Rights Agreement by and among the Registrant and the parties thereto, dated July  25, 2025 (incorporated by reference to Exhibit 10.8 to the Registrant’s Current Report on Form 8-K (File No. 001-40287) filed with the SEC on July  29,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5.1</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20">
              <w:r>
                <w:rPr>
                  <w:rStyle w:val="InternetLink"/>
                </w:rPr>
                <w:t>Opinion of Cooley LLP (incorporated by reference to Exhibit 5.1 to the Registrant’s Registration Statement on Form S-1 (File No. 333-290108) filed with the SEC on September 8,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23.1*</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w:anchor="d342685dex231.htm">
              <w:r>
                <w:rPr>
                  <w:rStyle w:val="InternetLink"/>
                </w:rPr>
                <w:t xml:space="preserve">Consent of PricewaterhouseCoopers LLP, Independent Registered Public Accounting Firm.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23.2</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21">
              <w:r>
                <w:rPr>
                  <w:rStyle w:val="InternetLink"/>
                </w:rPr>
                <w:t xml:space="preserve">Consent of Cooley LLP (included in Exhibit 5.1).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24.1</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"http://www.sec.gov/Archives/edgar/data/../../../ix?doc=/Archives/edgar/data/1835579/000119312525198360/d931520ds1.htm" \l "sig"</w:instrText>
            </w:r>
            <w:r>
              <w:rPr>
                <w:rStyle w:val="InternetLink"/>
              </w:rPr>
              <w:fldChar w:fldCharType="separate"/>
            </w:r>
            <w:r>
              <w:rPr>
                <w:rStyle w:val="InternetLink"/>
              </w:rPr>
              <w:t xml:space="preserve">Power of Attorney (incorporated by reference to Exhibit 24.1 to the Registrant’s Registration Statement on Form S-1 (File No. 333-290108) filed with the SEC on September 8, 2025). </w:t>
            </w:r>
            <w:r>
              <w:rPr>
                <w:rStyle w:val="InternetLink"/>
              </w:rPr>
              <w:fldChar w:fldCharType="end"/>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24.2</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r>
              <w:fldChar w:fldCharType="begin"/>
            </w:r>
            <w:r>
              <w:rPr>
                <w:rStyle w:val="InternetLink"/>
              </w:rPr>
              <w:instrText xml:space="preserve"> HYPERLINK "http://www.sec.gov/Archives/edgar/data/1835579/000119312526140536/d254007dposam.htm" \l "sig"</w:instrText>
            </w:r>
            <w:r>
              <w:rPr>
                <w:rStyle w:val="InternetLink"/>
              </w:rPr>
              <w:fldChar w:fldCharType="separate"/>
            </w:r>
            <w:r>
              <w:rPr>
                <w:rStyle w:val="InternetLink"/>
              </w:rPr>
              <w:t>Power of Attorney (incorporated by reference to Exhibit 24.2 to the Registrant’s Post-Effective Amendment No.  1 to Registration Statement on Form S-1 (File No. 333-290108) filed with the SEC on April 2, 2026).</w:t>
            </w:r>
            <w:r>
              <w:rPr>
                <w:rStyle w:val="InternetLink"/>
              </w:rPr>
              <w:fldChar w:fldCharType="end"/>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24.3</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w:anchor="ii342685_sig">
              <w:r>
                <w:rPr>
                  <w:rStyle w:val="InternetLink"/>
                </w:rPr>
                <w:t xml:space="preserve">Power of Attorney (included on signature page).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107</w:t>
            </w:r>
          </w:p>
        </w:tc>
        <w:tc>
          <w:tcPr>
            <w:tcW w:w="402" w:type="dxa"/>
            <w:tcBorders/>
            <w:vAlign w:val="bottom"/>
          </w:tcPr>
          <w:p>
            <w:pPr>
              <w:pStyle w:val="TableContents"/>
              <w:bidi w:val="0"/>
              <w:spacing w:before="0" w:after="283"/>
              <w:jc w:val="left"/>
              <w:rPr/>
            </w:pPr>
            <w:r>
              <w:rPr/>
              <w:t>  </w:t>
            </w:r>
          </w:p>
        </w:tc>
        <w:tc>
          <w:tcPr>
            <w:tcW w:w="8927" w:type="dxa"/>
            <w:tcBorders/>
          </w:tcPr>
          <w:p>
            <w:pPr>
              <w:pStyle w:val="TableContents"/>
              <w:bidi w:val="0"/>
              <w:spacing w:before="0" w:after="283"/>
              <w:jc w:val="left"/>
              <w:rPr/>
            </w:pPr>
            <w:hyperlink r:id="rId22">
              <w:r>
                <w:rPr>
                  <w:rStyle w:val="InternetLink"/>
                </w:rPr>
                <w:t>Filing Fee Table (incorporated by reference to Exhibit 107 to the Registrant’s Registration Statement on Form S-1 (File No. 333-290108) filed with the SEC on September 8, 2025).</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this agreement have been omitted pursuant to Item 601(b)(2) of Regulation S-K. The Registrant hereby agrees to furnish supplementally a copy of any omitted annex, schedule or exhibit to the SEC upon request.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the exhibit were omitted pursuant to Regulation S-K Item 601(a)(5) and 601(a)(6). The Registrant agrees to furnish to the SEC a copy of any omitted portions of the exhibit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Financial Statement Schedules</w:t>
      </w:r>
      <w:r>
        <w:rPr>
          <w:rFonts w:ascii="Times New Roman" w:hAnsi="Times New Roman"/>
          <w:i/>
          <w:sz w:val="20"/>
        </w:rPr>
        <w:t xml:space="preserve">. </w:t>
      </w:r>
      <w:r>
        <w:rPr>
          <w:rFonts w:ascii="Times New Roman" w:hAnsi="Times New Roman"/>
          <w:sz w:val="20"/>
        </w:rPr>
        <w:t xml:space="preserve">All financial statement schedules are omitted because the information called for is not required or is shown either in the consolidated financial statements or in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342685_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ImageneBio,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283"/>
              <w:jc w:val="left"/>
              <w:rPr/>
            </w:pPr>
            <w:r>
              <w:rPr/>
              <w:t>/s/ Kristin Yarema</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Kristin Yarema, Ph.D.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Kristin Yarema, Ph.D., as his or her true and lawful attorney-in-fact and agent with full power of substitution, for him or her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59"/>
        <w:gridCol w:w="120"/>
        <w:gridCol w:w="3807"/>
        <w:gridCol w:w="199"/>
        <w:gridCol w:w="1920"/>
      </w:tblGrid>
      <w:tr>
        <w:trPr/>
        <w:tc>
          <w:tcPr>
            <w:tcW w:w="41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41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8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9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Kristin Yarema</w:t>
            </w:r>
          </w:p>
          <w:p>
            <w:pPr>
              <w:pStyle w:val="TableContents"/>
              <w:bidi w:val="0"/>
              <w:spacing w:before="0" w:after="20"/>
              <w:jc w:val="center"/>
              <w:rPr>
                <w:rFonts w:ascii="Times New Roman" w:hAnsi="Times New Roman"/>
                <w:sz w:val="20"/>
              </w:rPr>
            </w:pPr>
            <w:r>
              <w:rPr>
                <w:rFonts w:ascii="Times New Roman" w:hAnsi="Times New Roman"/>
                <w:sz w:val="20"/>
              </w:rPr>
              <w:t>Kristin Yarema, Ph.D.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Yanina Grant</w:t>
            </w:r>
          </w:p>
          <w:p>
            <w:pPr>
              <w:pStyle w:val="TableContents"/>
              <w:bidi w:val="0"/>
              <w:spacing w:before="0" w:after="20"/>
              <w:jc w:val="center"/>
              <w:rPr>
                <w:rFonts w:ascii="Times New Roman" w:hAnsi="Times New Roman"/>
                <w:sz w:val="20"/>
              </w:rPr>
            </w:pPr>
            <w:r>
              <w:rPr>
                <w:rFonts w:ascii="Times New Roman" w:hAnsi="Times New Roman"/>
                <w:sz w:val="20"/>
              </w:rPr>
              <w:t>Yanina Grant</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0"/>
              <w:jc w:val="center"/>
              <w:rPr>
                <w:rFonts w:ascii="Times New Roman" w:hAnsi="Times New Roman"/>
                <w:sz w:val="20"/>
              </w:rPr>
            </w:pPr>
            <w:r>
              <w:rPr>
                <w:rFonts w:ascii="Times New Roman" w:hAnsi="Times New Roman"/>
                <w:sz w:val="20"/>
              </w:rPr>
              <w:t>Jonathan Jian Wang, Ph.D.,</w:t>
            </w:r>
          </w:p>
          <w:p>
            <w:pPr>
              <w:pStyle w:val="TableContents"/>
              <w:bidi w:val="0"/>
              <w:spacing w:before="0" w:after="20"/>
              <w:jc w:val="center"/>
              <w:rPr>
                <w:rFonts w:ascii="Times New Roman" w:hAnsi="Times New Roman"/>
                <w:sz w:val="20"/>
              </w:rPr>
            </w:pPr>
            <w:r>
              <w:rPr>
                <w:rFonts w:ascii="Times New Roman" w:hAnsi="Times New Roman"/>
                <w:sz w:val="20"/>
              </w:rPr>
              <w:t>MBA</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center"/>
              <w:rPr/>
            </w:pPr>
            <w:r>
              <w:rPr/>
              <w:t>Chair of the Board</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P. Bonita, M.D.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center"/>
              <w:rPr/>
            </w:pPr>
            <w:r>
              <w:rPr/>
              <w:t>Lead Independent Director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Joseph P. Slattery</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Otello Stampacchia, Ph.D.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r>
        <w:trPr>
          <w:trHeight w:val="240" w:hRule="atLeast"/>
        </w:trPr>
        <w:tc>
          <w:tcPr>
            <w:tcW w:w="4159" w:type="dxa"/>
            <w:tcBorders/>
            <w:vAlign w:val="center"/>
          </w:tcPr>
          <w:p>
            <w:pPr>
              <w:pStyle w:val="TableContents"/>
              <w:bidi w:val="0"/>
              <w:spacing w:before="0" w:after="283"/>
              <w:jc w:val="left"/>
              <w:rPr>
                <w:sz w:val="4"/>
                <w:szCs w:val="4"/>
              </w:rPr>
            </w:pPr>
            <w:r>
              <w:rPr>
                <w:sz w:val="4"/>
                <w:szCs w:val="4"/>
              </w:rPr>
            </w:r>
          </w:p>
        </w:tc>
        <w:tc>
          <w:tcPr>
            <w:tcW w:w="3927" w:type="dxa"/>
            <w:gridSpan w:val="2"/>
            <w:tcBorders/>
            <w:vAlign w:val="center"/>
          </w:tcPr>
          <w:p>
            <w:pPr>
              <w:pStyle w:val="TableContents"/>
              <w:bidi w:val="0"/>
              <w:spacing w:before="0" w:after="283"/>
              <w:jc w:val="left"/>
              <w:rPr>
                <w:sz w:val="4"/>
                <w:szCs w:val="4"/>
              </w:rPr>
            </w:pPr>
            <w:r>
              <w:rPr>
                <w:sz w:val="4"/>
                <w:szCs w:val="4"/>
              </w:rPr>
            </w:r>
          </w:p>
        </w:tc>
        <w:tc>
          <w:tcPr>
            <w:tcW w:w="2119" w:type="dxa"/>
            <w:gridSpan w:val="2"/>
            <w:tcBorders/>
            <w:vAlign w:val="center"/>
          </w:tcPr>
          <w:p>
            <w:pPr>
              <w:pStyle w:val="TableContents"/>
              <w:bidi w:val="0"/>
              <w:spacing w:before="0" w:after="283"/>
              <w:jc w:val="left"/>
              <w:rPr>
                <w:sz w:val="4"/>
                <w:szCs w:val="4"/>
              </w:rPr>
            </w:pPr>
            <w:r>
              <w:rPr>
                <w:sz w:val="4"/>
                <w:szCs w:val="4"/>
              </w:rPr>
            </w:r>
          </w:p>
        </w:tc>
      </w:tr>
      <w:tr>
        <w:trPr/>
        <w:tc>
          <w:tcPr>
            <w:tcW w:w="41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Weiguo Su, Ph.D.</w:t>
            </w:r>
          </w:p>
        </w:tc>
        <w:tc>
          <w:tcPr>
            <w:tcW w:w="120" w:type="dxa"/>
            <w:tcBorders/>
            <w:vAlign w:val="bottom"/>
          </w:tcPr>
          <w:p>
            <w:pPr>
              <w:pStyle w:val="TableContents"/>
              <w:bidi w:val="0"/>
              <w:spacing w:before="0" w:after="283"/>
              <w:jc w:val="left"/>
              <w:rPr/>
            </w:pPr>
            <w:r>
              <w:rPr/>
              <w:t>  </w:t>
            </w:r>
          </w:p>
        </w:tc>
        <w:tc>
          <w:tcPr>
            <w:tcW w:w="3807"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pPr>
            <w:r>
              <w:rPr/>
              <w:t>August 5,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left"/>
              <w:rPr/>
            </w:pPr>
            <w:r>
              <w:rPr/>
              <w:t>/s/ Kristin Yarema</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Kristin Yarema, Ph.D.</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342685dex231.htm"/>
      <w:bookmarkStart w:id="18" w:name="ksd342685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ImageneBio, Inc. of our report dated March 10, 2026 relating to the financial statements, which appears in ImageneBio,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5579/000119312526099434/ima-20251231.htm" TargetMode="External"/><Relationship Id="rId4" Type="http://schemas.openxmlformats.org/officeDocument/2006/relationships/hyperlink" Target="http://www.sec.gov/Archives/edgar/data/../../../ix?doc=/Archives/edgar/data/0001835579/000114036126018267/edge20064682x1_def14a.htm" TargetMode="External"/><Relationship Id="rId5" Type="http://schemas.openxmlformats.org/officeDocument/2006/relationships/hyperlink" Target="http://www.sec.gov/Archives/edgar/data/../../../ix?doc=/Archives/edgar/data/0001835579/000119312526212073/ima-20260331.htm" TargetMode="External"/><Relationship Id="rId6" Type="http://schemas.openxmlformats.org/officeDocument/2006/relationships/hyperlink" Target="http://www.sec.gov/Archives/edgar/data/../../../ix?doc=/Archives/edgar/data/1835579/000119312526333920/ima-20260630.htm" TargetMode="External"/><Relationship Id="rId7" Type="http://schemas.openxmlformats.org/officeDocument/2006/relationships/hyperlink" Target="http://www.sec.gov/Archives/edgar/data/../../../ix?doc=/Archives/edgar/data/0001835579/000119312526054684/d18298d8k.htm" TargetMode="External"/><Relationship Id="rId8" Type="http://schemas.openxmlformats.org/officeDocument/2006/relationships/hyperlink" Target="http://www.sec.gov/Archives/edgar/data/../../../ix?doc=/Archives/edgar/data/0001835579/000119312526110945/d56716d8k.htm" TargetMode="External"/><Relationship Id="rId9" Type="http://schemas.openxmlformats.org/officeDocument/2006/relationships/hyperlink" Target="http://www.sec.gov/Archives/edgar/data/../../../ix?doc=/Archives/edgar/data/0001835579/000119312526151942/d143873d8k.htm" TargetMode="External"/><Relationship Id="rId10" Type="http://schemas.openxmlformats.org/officeDocument/2006/relationships/hyperlink" Target="http://www.sec.gov/Archives/edgar/data/../../../ix?doc=/Archives/edgar/data/1835579/000119312526274139/d114862d8k.htm" TargetMode="External"/><Relationship Id="rId11" Type="http://schemas.openxmlformats.org/officeDocument/2006/relationships/hyperlink" Target="http://www.sec.gov/Archives/edgar/data/../../../ix?doc=/Archives/edgar/data/0001835579/000119312526285424/d131079d8k.htm" TargetMode="External"/><Relationship Id="rId12" Type="http://schemas.openxmlformats.org/officeDocument/2006/relationships/hyperlink" Target="http://www.sec.gov/Archives/edgar/data/../../../ix?doc=/Archives/edgar/data/1835579/000119312526314167/d143178d8k.htm" TargetMode="External"/><Relationship Id="rId13" Type="http://schemas.openxmlformats.org/officeDocument/2006/relationships/hyperlink" Target="http://www.sec.gov/Archives/edgar/data/1835579/000119312526099434/ima-ex4_4.htm" TargetMode="External"/><Relationship Id="rId14" Type="http://schemas.openxmlformats.org/officeDocument/2006/relationships/hyperlink" Target="http://www.sec.gov/Archives/edgar/data/1835579/000119312524283722/d889670dex21.htm" TargetMode="External"/><Relationship Id="rId15" Type="http://schemas.openxmlformats.org/officeDocument/2006/relationships/hyperlink" Target="http://www.sec.gov/Archives/edgar/data/1835579/000119312521100292/d108142dex31.htm" TargetMode="External"/><Relationship Id="rId16" Type="http://schemas.openxmlformats.org/officeDocument/2006/relationships/hyperlink" Target="http://www.sec.gov/Archives/edgar/data/1835579/000119312525167089/d66290dex31.htm" TargetMode="External"/><Relationship Id="rId17" Type="http://schemas.openxmlformats.org/officeDocument/2006/relationships/hyperlink" Target="http://www.sec.gov/Archives/edgar/data/1835579/000119312525167089/d66290dex32.htm" TargetMode="External"/><Relationship Id="rId18" Type="http://schemas.openxmlformats.org/officeDocument/2006/relationships/hyperlink" Target="http://www.sec.gov/Archives/edgar/data/1835579/000119312521100292/d108142dex32.htm" TargetMode="External"/><Relationship Id="rId19" Type="http://schemas.openxmlformats.org/officeDocument/2006/relationships/hyperlink" Target="http://www.sec.gov/Archives/edgar/data/0001835579/000119312525167089/d66290dex108.htm" TargetMode="External"/><Relationship Id="rId20" Type="http://schemas.openxmlformats.org/officeDocument/2006/relationships/hyperlink" Target="http://www.sec.gov/Archives/edgar/data/1835579/000119312525198360/d931520dex51.htm" TargetMode="External"/><Relationship Id="rId21" Type="http://schemas.openxmlformats.org/officeDocument/2006/relationships/hyperlink" Target="http://www.sec.gov/Archives/edgar/data/1835579/000119312525198360/d931520dex51.htm" TargetMode="External"/><Relationship Id="rId22" Type="http://schemas.openxmlformats.org/officeDocument/2006/relationships/hyperlink" Target="http://www.sec.gov/Archives/edgar/data/1835579/000119312525198360/d931520dexfilingfees.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10634</Words>
  <Characters>57126</Characters>
  <CharactersWithSpaces>68013</CharactersWithSpaces>
  <Paragraphs>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