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333-290108</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April 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2560320</wp:posOffset>
            </wp:positionH>
            <wp:positionV relativeFrom="paragraph">
              <wp:posOffset>160020</wp:posOffset>
            </wp:positionV>
            <wp:extent cx="1877060" cy="763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77060" cy="7632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ImageneBio,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2,508,337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182880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supplements the prospectus dated April 2, 2026 (the “Prospectus”), which forms a part of our registration statement on Form S-1 (No. 333-290108), as amended. This prospectus supplement is being filed to update and supplement the information in the Prospectus with certain information contained in our Current Report on Form 8-K, filed with the Securities and Exchange Commission on June 17, 2026 (the “Current Report”). Accordingly, we have attached the Current Report in relevant part to this prospectus supplement.</w:t>
      </w:r>
    </w:p>
    <w:p>
      <w:pPr>
        <w:spacing w:after="0" w:line="180" w:lineRule="exact"/>
        <w:rPr>
          <w:sz w:val="24"/>
          <w:szCs w:val="24"/>
          <w:color w:val="auto"/>
        </w:rPr>
      </w:pPr>
    </w:p>
    <w:p>
      <w:pPr>
        <w:ind w:right="100" w:firstLine="440"/>
        <w:spacing w:after="0" w:line="312" w:lineRule="auto"/>
        <w:rPr>
          <w:sz w:val="20"/>
          <w:szCs w:val="20"/>
          <w:color w:val="auto"/>
        </w:rPr>
      </w:pPr>
      <w:r>
        <w:rPr>
          <w:rFonts w:ascii="Times New Roman" w:cs="Times New Roman" w:eastAsia="Times New Roman" w:hAnsi="Times New Roman"/>
          <w:sz w:val="17"/>
          <w:szCs w:val="17"/>
          <w:color w:val="auto"/>
        </w:rPr>
        <w:t>The Prospectus and this prospectus supplement relate to the proposed offer and resale or other disposition from time to time by the selling stockholders identified in this prospectus of 2,508,337 shares of common stock, par value $0.001 per share, (the “Common Stock”) of ImageneBio, Inc.</w:t>
      </w:r>
    </w:p>
    <w:p>
      <w:pPr>
        <w:spacing w:after="0" w:line="140" w:lineRule="exact"/>
        <w:rPr>
          <w:sz w:val="24"/>
          <w:szCs w:val="24"/>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ticker symbol “IMA.” On June 16, 2026, the last reported sales price of our Common Stock was $5.45 per share.</w:t>
      </w:r>
    </w:p>
    <w:p>
      <w:pPr>
        <w:spacing w:after="0" w:line="162" w:lineRule="exact"/>
        <w:rPr>
          <w:sz w:val="24"/>
          <w:szCs w:val="24"/>
          <w:color w:val="auto"/>
        </w:rPr>
      </w:pPr>
    </w:p>
    <w:p>
      <w:pPr>
        <w:ind w:right="36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should be read in conjunction with the Prospectus, including any amendments or supplements to it, which is to be delivered with this prospectus supplement. This prospectus supplement is qualified by reference to the Prospectus, including any amendments or supplements thereto, except to the extent that the information provided by this prospectus supplement supersedes information contained in the Prospectus.</w:t>
      </w:r>
    </w:p>
    <w:p>
      <w:pPr>
        <w:spacing w:after="0" w:line="180" w:lineRule="exact"/>
        <w:rPr>
          <w:sz w:val="24"/>
          <w:szCs w:val="24"/>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This prospectus supplement is not complete without, and may not be delivered or used except in conjunction with, the Prospectus, including any amendments or supplements to it.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148590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ind w:right="12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Investing in our securities involves a high degree of risk. You should review carefully the risks and uncertainties described in the section titled “Risk Factors” beginning on page 6 of the Prospectus, and under similar headings in any amendments or supplements to the Prospectus.</w:t>
      </w:r>
    </w:p>
    <w:p>
      <w:pPr>
        <w:spacing w:after="0" w:line="132" w:lineRule="exact"/>
        <w:rPr>
          <w:sz w:val="24"/>
          <w:szCs w:val="24"/>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accuracy or adequacy of this prospectus supplement.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June 17, 2026</w:t>
      </w:r>
    </w:p>
    <w:p>
      <w:pPr>
        <w:sectPr>
          <w:pgSz w:w="11900" w:h="16838" w:orient="portrait"/>
          <w:cols w:equalWidth="0" w:num="1">
            <w:col w:w="11020"/>
          </w:cols>
          <w:pgMar w:left="440" w:top="225" w:right="439" w:bottom="1440" w:gutter="0" w:footer="0" w:header="0"/>
        </w:sectPr>
      </w:pPr>
    </w:p>
    <w:bookmarkStart w:id="1" w:name="page2"/>
    <w:bookmarkEnd w:id="1"/>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IMAGENEBIO, INC.</w:t>
      </w:r>
    </w:p>
    <w:p>
      <w:pPr>
        <w:spacing w:after="0" w:line="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84" w:right="43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001-40287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81-1697316</w:t>
      </w:r>
    </w:p>
    <w:p>
      <w:pPr>
        <w:spacing w:after="0" w:line="24" w:lineRule="exact"/>
        <w:rPr>
          <w:sz w:val="20"/>
          <w:szCs w:val="20"/>
          <w:color w:val="auto"/>
        </w:rPr>
      </w:pPr>
    </w:p>
    <w:p>
      <w:pPr>
        <w:sectPr>
          <w:pgSz w:w="11900" w:h="16838" w:orient="portrait"/>
          <w:cols w:equalWidth="0" w:num="3">
            <w:col w:w="4504" w:space="720"/>
            <w:col w:w="2880" w:space="720"/>
            <w:col w:w="2200"/>
          </w:cols>
          <w:pgMar w:left="436" w:top="484"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0"/>
          <w:szCs w:val="20"/>
          <w:color w:val="auto"/>
        </w:rPr>
      </w:pPr>
      <w:r>
        <w:rPr>
          <w:sz w:val="20"/>
          <w:szCs w:val="20"/>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0"/>
          <w:szCs w:val="20"/>
          <w:color w:val="auto"/>
        </w:rPr>
      </w:pPr>
    </w:p>
    <w:p>
      <w:pPr>
        <w:sectPr>
          <w:pgSz w:w="11900" w:h="16838" w:orient="portrait"/>
          <w:cols w:equalWidth="0" w:num="3">
            <w:col w:w="4484" w:space="720"/>
            <w:col w:w="2760" w:space="720"/>
            <w:col w:w="2340"/>
          </w:cols>
          <w:pgMar w:left="436" w:top="484" w:right="439" w:bottom="1440" w:gutter="0" w:footer="0" w:header="0"/>
          <w:type w:val="continuous"/>
        </w:sectPr>
      </w:pPr>
    </w:p>
    <w:p>
      <w:pPr>
        <w:spacing w:after="0" w:line="1" w:lineRule="exact"/>
        <w:rPr>
          <w:sz w:val="20"/>
          <w:szCs w:val="20"/>
          <w:color w:val="auto"/>
        </w:rPr>
      </w:pPr>
    </w:p>
    <w:p>
      <w:pPr>
        <w:ind w:left="1484"/>
        <w:spacing w:after="0"/>
        <w:rPr>
          <w:sz w:val="20"/>
          <w:szCs w:val="20"/>
          <w:color w:val="auto"/>
        </w:rPr>
      </w:pPr>
      <w:r>
        <w:rPr>
          <w:rFonts w:ascii="Times New Roman" w:cs="Times New Roman" w:eastAsia="Times New Roman" w:hAnsi="Times New Roman"/>
          <w:sz w:val="17"/>
          <w:szCs w:val="17"/>
          <w:b w:val="1"/>
          <w:bCs w:val="1"/>
          <w:color w:val="auto"/>
        </w:rPr>
        <w:t>12526 High Bluff Drive, Suite 345</w:t>
      </w:r>
    </w:p>
    <w:p>
      <w:pPr>
        <w:spacing w:after="0" w:line="43" w:lineRule="exact"/>
        <w:rPr>
          <w:sz w:val="20"/>
          <w:szCs w:val="20"/>
          <w:color w:val="auto"/>
        </w:rPr>
      </w:pPr>
    </w:p>
    <w:p>
      <w:pPr>
        <w:ind w:left="1944"/>
        <w:spacing w:after="0"/>
        <w:rPr>
          <w:sz w:val="20"/>
          <w:szCs w:val="20"/>
          <w:color w:val="auto"/>
        </w:rPr>
      </w:pPr>
      <w:r>
        <w:rPr>
          <w:rFonts w:ascii="Times New Roman" w:cs="Times New Roman" w:eastAsia="Times New Roman" w:hAnsi="Times New Roman"/>
          <w:sz w:val="18"/>
          <w:szCs w:val="18"/>
          <w:b w:val="1"/>
          <w:bCs w:val="1"/>
          <w:color w:val="auto"/>
        </w:rPr>
        <w:t>San Diego, California</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92130</w:t>
      </w:r>
    </w:p>
    <w:p>
      <w:pPr>
        <w:spacing w:after="0" w:line="42" w:lineRule="exact"/>
        <w:rPr>
          <w:sz w:val="20"/>
          <w:szCs w:val="20"/>
          <w:color w:val="auto"/>
        </w:rPr>
      </w:pPr>
    </w:p>
    <w:p>
      <w:pPr>
        <w:sectPr>
          <w:pgSz w:w="11900" w:h="16838" w:orient="portrait"/>
          <w:cols w:equalWidth="0" w:num="2">
            <w:col w:w="7404" w:space="720"/>
            <w:col w:w="2900"/>
          </w:cols>
          <w:pgMar w:left="436" w:top="484"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54" w:lineRule="exact"/>
        <w:rPr>
          <w:sz w:val="20"/>
          <w:szCs w:val="20"/>
          <w:color w:val="auto"/>
        </w:rPr>
      </w:pPr>
    </w:p>
    <w:p>
      <w:pPr>
        <w:sectPr>
          <w:pgSz w:w="11900" w:h="16838" w:orient="portrait"/>
          <w:cols w:equalWidth="0" w:num="2">
            <w:col w:w="7284" w:space="720"/>
            <w:col w:w="3020"/>
          </w:cols>
          <w:pgMar w:left="436" w:top="484"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345-6265</w:t>
      </w:r>
    </w:p>
    <w:p>
      <w:pPr>
        <w:spacing w:after="0" w:line="18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4" w:lineRule="exact"/>
        <w:rPr>
          <w:sz w:val="20"/>
          <w:szCs w:val="20"/>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0"/>
          <w:szCs w:val="20"/>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IMA</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0"/>
          <w:szCs w:val="20"/>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0"/>
          <w:szCs w:val="20"/>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84" w:right="4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96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-392430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700" w:space="500"/>
            <w:col w:w="9760"/>
          </w:cols>
          <w:pgMar w:left="440" w:top="266" w:right="49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(e)</w:t>
      </w:r>
    </w:p>
    <w:p>
      <w:pPr>
        <w:sectPr>
          <w:pgSz w:w="11900" w:h="16838" w:orient="portrait"/>
          <w:cols w:equalWidth="0" w:num="1">
            <w:col w:w="10960"/>
          </w:cols>
          <w:pgMar w:left="440" w:top="266" w:right="499" w:bottom="1440" w:gutter="0" w:footer="0" w:header="0"/>
          <w:type w:val="continuous"/>
        </w:sectPr>
      </w:pPr>
    </w:p>
    <w:p>
      <w:pPr>
        <w:spacing w:after="0" w:line="22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June 16, 2026, ImageneBio, Inc. (the “Company”) held its 2026 Annual Meeting of Stockholders (the “Annual Meeting”). As further described in Item 5.07 below, the stockholders of the Company approved an amendment and restatement of the Company’s 2025 Equity Incentive Plan (the “2025 Plan”) at the Annual Meeting to, among other things, increase the aggregate number of shares of common stock authorized for issuance under the 2025 Plan by 850,000 shares and to include shares of common stock issuable upon conversion or exercise of convertible preferred stock and prefunded warrants in the calculation of the annual automatic share reserve increase (the “Amended Plan”). The Company’s Board of Directors had previously approved the amendment and restatement of the 2025 Plan, subject to stockholder approval.</w:t>
      </w:r>
    </w:p>
    <w:p>
      <w:pPr>
        <w:spacing w:after="0" w:line="18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 description of the material terms of the Amended Plan is contained in the section entitled “Proposal 3: Approval of the Amendment and Restatement of the 2025 Equity Incentive Plan” of the Company’s definitive proxy statement for the Annual Meeting filed with the U.S. Securities and Exchange Commission on April 30, 2026 (the “Proxy Statement”). That description is incorporated into this Item 5.02 by reference. Such description, as well as the foregoing description in this Item 5.02, does not purport to be complete, and are qualified in their entirety by reference to the full text of the Amended Plan, which is attached hereto as Exhibit 10.1.</w:t>
      </w:r>
    </w:p>
    <w:p>
      <w:pPr>
        <w:spacing w:after="0" w:line="32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Company held its Annual Meeting on June 16, 2026. As of April 28, 2026, the record date for the Annual Meeting, there were 11,279,130 outstanding shares of the Company’s voting common stock. A summary of the matters voted upon by stockholders at the Annual Meeting is set forth below.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stockholders elected the following two individuals to serve as Class II directors, to hold office until the 2029 Annual Meeting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and their successors are duly elected and qualified or until his earlier death, resignation or removal. The final voting results are as follows:</w:t>
      </w:r>
    </w:p>
    <w:p>
      <w:pPr>
        <w:spacing w:after="0" w:line="227"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80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For</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Withheld</w:t>
            </w:r>
          </w:p>
        </w:tc>
        <w:tc>
          <w:tcPr>
            <w:tcW w:w="234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10"/>
        </w:trPr>
        <w:tc>
          <w:tcPr>
            <w:tcW w:w="4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P. Bonita, M.D.</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6,980,671</w:t>
            </w:r>
          </w:p>
        </w:tc>
        <w:tc>
          <w:tcPr>
            <w:tcW w:w="6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40,117</w:t>
            </w:r>
          </w:p>
        </w:tc>
        <w:tc>
          <w:tcPr>
            <w:tcW w:w="7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612,769</w:t>
            </w:r>
          </w:p>
        </w:tc>
        <w:tc>
          <w:tcPr>
            <w:tcW w:w="460" w:type="dxa"/>
            <w:vAlign w:val="bottom"/>
            <w:tcBorders>
              <w:top w:val="single" w:sz="8" w:color="CCEEFF"/>
            </w:tcBorders>
            <w:shd w:val="clear" w:color="auto" w:fill="CCEEFF"/>
          </w:tcPr>
          <w:p>
            <w:pPr>
              <w:spacing w:after="0"/>
              <w:rPr>
                <w:sz w:val="18"/>
                <w:szCs w:val="18"/>
                <w:color w:val="auto"/>
              </w:rPr>
            </w:pPr>
          </w:p>
        </w:tc>
      </w:tr>
      <w:tr>
        <w:trPr>
          <w:trHeight w:val="23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Joseph P. Slattery</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6,985,414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35,374</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612,769</w:t>
            </w:r>
          </w:p>
        </w:tc>
        <w:tc>
          <w:tcPr>
            <w:tcW w:w="460" w:type="dxa"/>
            <w:vAlign w:val="bottom"/>
          </w:tcPr>
          <w:p>
            <w:pPr>
              <w:spacing w:after="0"/>
              <w:rPr>
                <w:sz w:val="20"/>
                <w:szCs w:val="20"/>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 Ratification of Appointment of Independent Registered Public Accounting Firm</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stockholders ratified the appointment by the Audit Committee of the Company’s Board of Directors of PricewaterhouseCoopers LLP as the Company’s independent registered public accounting firm for the fiscal year ending December 31, 2026. The final voting results are as follows:</w:t>
      </w:r>
    </w:p>
    <w:p>
      <w:pPr>
        <w:spacing w:after="0" w:line="182" w:lineRule="exact"/>
        <w:rPr>
          <w:sz w:val="20"/>
          <w:szCs w:val="20"/>
          <w:color w:val="auto"/>
        </w:rPr>
      </w:pPr>
    </w:p>
    <w:tbl>
      <w:tblPr>
        <w:tblLayout w:type="fixed"/>
        <w:tblInd w:w="1320" w:type="dxa"/>
        <w:tblCellMar>
          <w:top w:w="0" w:type="dxa"/>
          <w:left w:w="0" w:type="dxa"/>
          <w:bottom w:w="0" w:type="dxa"/>
          <w:right w:w="0" w:type="dxa"/>
        </w:tblCellMar>
      </w:tblPr>
      <w:tr>
        <w:trPr>
          <w:trHeight w:val="187"/>
        </w:trPr>
        <w:tc>
          <w:tcPr>
            <w:tcW w:w="2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w:t>
            </w:r>
          </w:p>
        </w:tc>
        <w:tc>
          <w:tcPr>
            <w:tcW w:w="2760" w:type="dxa"/>
            <w:vAlign w:val="bottom"/>
            <w:gridSpan w:val="2"/>
          </w:tcPr>
          <w:p>
            <w:pPr>
              <w:ind w:left="11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w:t>
            </w:r>
          </w:p>
        </w:tc>
      </w:tr>
      <w:tr>
        <w:trPr>
          <w:trHeight w:val="209"/>
        </w:trPr>
        <w:tc>
          <w:tcPr>
            <w:tcW w:w="2840" w:type="dxa"/>
            <w:vAlign w:val="bottom"/>
            <w:tcBorders>
              <w:top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rPr>
              <w:t>7,613,075</w:t>
            </w:r>
          </w:p>
        </w:tc>
        <w:tc>
          <w:tcPr>
            <w:tcW w:w="10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20,477</w:t>
            </w:r>
          </w:p>
        </w:tc>
        <w:tc>
          <w:tcPr>
            <w:tcW w:w="80" w:type="dxa"/>
            <w:vAlign w:val="bottom"/>
            <w:tcBorders>
              <w:top w:val="single" w:sz="8" w:color="CCEEFF"/>
            </w:tcBorders>
            <w:shd w:val="clear" w:color="auto" w:fill="CCEEFF"/>
          </w:tcPr>
          <w:p>
            <w:pPr>
              <w:spacing w:after="0"/>
              <w:rPr>
                <w:sz w:val="18"/>
                <w:szCs w:val="18"/>
                <w:color w:val="auto"/>
              </w:rPr>
            </w:pPr>
          </w:p>
        </w:tc>
        <w:tc>
          <w:tcPr>
            <w:tcW w:w="2660" w:type="dxa"/>
            <w:vAlign w:val="bottom"/>
            <w:tcBorders>
              <w:top w:val="single" w:sz="8" w:color="auto"/>
            </w:tcBorders>
            <w:shd w:val="clear" w:color="auto" w:fill="CCEEFF"/>
          </w:tcPr>
          <w:p>
            <w:pPr>
              <w:jc w:val="right"/>
              <w:ind w:right="1199"/>
              <w:spacing w:after="0"/>
              <w:rPr>
                <w:sz w:val="20"/>
                <w:szCs w:val="20"/>
                <w:color w:val="auto"/>
              </w:rPr>
            </w:pPr>
            <w:r>
              <w:rPr>
                <w:rFonts w:ascii="Times New Roman" w:cs="Times New Roman" w:eastAsia="Times New Roman" w:hAnsi="Times New Roman"/>
                <w:sz w:val="18"/>
                <w:szCs w:val="18"/>
                <w:color w:val="auto"/>
              </w:rPr>
              <w:t>5</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3: 2025 Amended Plan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stockholders approved the Amended Plan. The final voting results are as follows:</w:t>
      </w:r>
    </w:p>
    <w:p>
      <w:pPr>
        <w:spacing w:after="0" w:line="246" w:lineRule="exact"/>
        <w:rPr>
          <w:sz w:val="20"/>
          <w:szCs w:val="20"/>
          <w:color w:val="auto"/>
        </w:rPr>
      </w:pPr>
    </w:p>
    <w:tbl>
      <w:tblPr>
        <w:tblLayout w:type="fixed"/>
        <w:tblInd w:w="880" w:type="dxa"/>
        <w:tblCellMar>
          <w:top w:w="0" w:type="dxa"/>
          <w:left w:w="0" w:type="dxa"/>
          <w:bottom w:w="0" w:type="dxa"/>
          <w:right w:w="0" w:type="dxa"/>
        </w:tblCellMar>
      </w:tblPr>
      <w:tr>
        <w:trPr>
          <w:trHeight w:val="187"/>
        </w:trPr>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10"/>
        </w:trPr>
        <w:tc>
          <w:tcPr>
            <w:tcW w:w="2220" w:type="dxa"/>
            <w:vAlign w:val="bottom"/>
            <w:tcBorders>
              <w:top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6,322,909</w:t>
            </w:r>
          </w:p>
        </w:tc>
        <w:tc>
          <w:tcPr>
            <w:tcW w:w="14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591,191</w:t>
            </w:r>
          </w:p>
        </w:tc>
        <w:tc>
          <w:tcPr>
            <w:tcW w:w="10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106,688</w:t>
            </w:r>
          </w:p>
        </w:tc>
        <w:tc>
          <w:tcPr>
            <w:tcW w:w="8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612,769</w:t>
            </w:r>
          </w:p>
        </w:tc>
      </w:tr>
    </w:tbl>
    <w:p>
      <w:pPr>
        <w:sectPr>
          <w:pgSz w:w="11900" w:h="16838" w:orient="portrait"/>
          <w:cols w:equalWidth="0" w:num="1">
            <w:col w:w="10960"/>
          </w:cols>
          <w:pgMar w:left="440" w:top="266" w:right="499" w:bottom="1440" w:gutter="0" w:footer="0" w:header="0"/>
          <w:type w:val="continuous"/>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40" w:type="dxa"/>
            <w:vAlign w:val="bottom"/>
          </w:tcPr>
          <w:p>
            <w:pPr>
              <w:spacing w:after="0"/>
              <w:rPr>
                <w:sz w:val="20"/>
                <w:szCs w:val="20"/>
                <w:color w:val="auto"/>
              </w:rPr>
            </w:pPr>
          </w:p>
        </w:tc>
        <w:tc>
          <w:tcPr>
            <w:tcW w:w="58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8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8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00" w:type="dxa"/>
            <w:vAlign w:val="bottom"/>
          </w:tcPr>
          <w:p>
            <w:pPr>
              <w:spacing w:after="0"/>
              <w:rPr>
                <w:sz w:val="24"/>
                <w:szCs w:val="24"/>
                <w:color w:val="auto"/>
              </w:rPr>
            </w:pPr>
          </w:p>
        </w:tc>
        <w:tc>
          <w:tcPr>
            <w:tcW w:w="58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ImageneBio, Inc. Amended and Restated 2025 Equity Incentive Plan.</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00" w:type="dxa"/>
            <w:vAlign w:val="bottom"/>
          </w:tcPr>
          <w:p>
            <w:pPr>
              <w:spacing w:after="0"/>
              <w:rPr>
                <w:sz w:val="24"/>
                <w:szCs w:val="24"/>
                <w:color w:val="auto"/>
              </w:rPr>
            </w:pPr>
          </w:p>
        </w:tc>
        <w:tc>
          <w:tcPr>
            <w:tcW w:w="58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0019"/>
          </w:cols>
          <w:pgMar w:left="440" w:top="266" w:right="1440" w:bottom="1440" w:gutter="0" w:footer="0" w:header="0"/>
        </w:sectPr>
      </w:pPr>
    </w:p>
    <w:bookmarkStart w:id="4" w:name="page5"/>
    <w:bookmarkEnd w:id="4"/>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IMAGENEBIO,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17,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Kristin Yarema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Kristin Yarema, Ph.D.</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0260"/>
          </w:cols>
          <w:pgMar w:left="440" w:top="266" w:right="119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10.1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MAGENE</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IO</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ESTATED</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2025 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DOPTED BY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r>
        <w:rPr>
          <w:rFonts w:ascii="Times New Roman" w:cs="Times New Roman" w:eastAsia="Times New Roman" w:hAnsi="Times New Roman"/>
          <w:sz w:val="18"/>
          <w:szCs w:val="18"/>
          <w:b w:val="1"/>
          <w:bCs w:val="1"/>
          <w:color w:val="auto"/>
        </w:rPr>
        <w:t>: D</w:t>
      </w:r>
      <w:r>
        <w:rPr>
          <w:rFonts w:ascii="Times New Roman" w:cs="Times New Roman" w:eastAsia="Times New Roman" w:hAnsi="Times New Roman"/>
          <w:sz w:val="14"/>
          <w:szCs w:val="14"/>
          <w:b w:val="1"/>
          <w:bCs w:val="1"/>
          <w:color w:val="auto"/>
        </w:rPr>
        <w:t>ECEMBER</w:t>
      </w:r>
      <w:r>
        <w:rPr>
          <w:rFonts w:ascii="Times New Roman" w:cs="Times New Roman" w:eastAsia="Times New Roman" w:hAnsi="Times New Roman"/>
          <w:sz w:val="18"/>
          <w:szCs w:val="18"/>
          <w:b w:val="1"/>
          <w:bCs w:val="1"/>
          <w:color w:val="auto"/>
        </w:rPr>
        <w:t xml:space="preserve"> 12, 2024</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PPROVED BY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TOCKHOLDERS</w:t>
      </w:r>
      <w:r>
        <w:rPr>
          <w:rFonts w:ascii="Times New Roman" w:cs="Times New Roman" w:eastAsia="Times New Roman" w:hAnsi="Times New Roman"/>
          <w:sz w:val="18"/>
          <w:szCs w:val="18"/>
          <w:b w:val="1"/>
          <w:bCs w:val="1"/>
          <w:color w:val="auto"/>
        </w:rPr>
        <w:t>: J</w:t>
      </w:r>
      <w:r>
        <w:rPr>
          <w:rFonts w:ascii="Times New Roman" w:cs="Times New Roman" w:eastAsia="Times New Roman" w:hAnsi="Times New Roman"/>
          <w:sz w:val="14"/>
          <w:szCs w:val="14"/>
          <w:b w:val="1"/>
          <w:bCs w:val="1"/>
          <w:color w:val="auto"/>
        </w:rPr>
        <w:t>ULY</w:t>
      </w:r>
      <w:r>
        <w:rPr>
          <w:rFonts w:ascii="Times New Roman" w:cs="Times New Roman" w:eastAsia="Times New Roman" w:hAnsi="Times New Roman"/>
          <w:sz w:val="18"/>
          <w:szCs w:val="18"/>
          <w:b w:val="1"/>
          <w:bCs w:val="1"/>
          <w:color w:val="auto"/>
        </w:rPr>
        <w:t xml:space="preserve"> 15, 2025</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ESTATED BY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r>
        <w:rPr>
          <w:rFonts w:ascii="Times New Roman" w:cs="Times New Roman" w:eastAsia="Times New Roman" w:hAnsi="Times New Roman"/>
          <w:sz w:val="18"/>
          <w:szCs w:val="18"/>
          <w:b w:val="1"/>
          <w:bCs w:val="1"/>
          <w:color w:val="auto"/>
        </w:rPr>
        <w:t>: A</w:t>
      </w:r>
      <w:r>
        <w:rPr>
          <w:rFonts w:ascii="Times New Roman" w:cs="Times New Roman" w:eastAsia="Times New Roman" w:hAnsi="Times New Roman"/>
          <w:sz w:val="14"/>
          <w:szCs w:val="14"/>
          <w:b w:val="1"/>
          <w:bCs w:val="1"/>
          <w:color w:val="auto"/>
        </w:rPr>
        <w:t>PRIL</w:t>
      </w:r>
      <w:r>
        <w:rPr>
          <w:rFonts w:ascii="Times New Roman" w:cs="Times New Roman" w:eastAsia="Times New Roman" w:hAnsi="Times New Roman"/>
          <w:sz w:val="18"/>
          <w:szCs w:val="18"/>
          <w:b w:val="1"/>
          <w:bCs w:val="1"/>
          <w:color w:val="auto"/>
        </w:rPr>
        <w:t xml:space="preserve"> 27, 2026</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PPROVED BY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TOCKHOLDERS</w:t>
      </w:r>
      <w:r>
        <w:rPr>
          <w:rFonts w:ascii="Times New Roman" w:cs="Times New Roman" w:eastAsia="Times New Roman" w:hAnsi="Times New Roman"/>
          <w:sz w:val="18"/>
          <w:szCs w:val="18"/>
          <w:b w:val="1"/>
          <w:bCs w:val="1"/>
          <w:color w:val="auto"/>
        </w:rPr>
        <w:t>: J</w:t>
      </w:r>
      <w:r>
        <w:rPr>
          <w:rFonts w:ascii="Times New Roman" w:cs="Times New Roman" w:eastAsia="Times New Roman" w:hAnsi="Times New Roman"/>
          <w:sz w:val="14"/>
          <w:szCs w:val="14"/>
          <w:b w:val="1"/>
          <w:bCs w:val="1"/>
          <w:color w:val="auto"/>
        </w:rPr>
        <w:t>UNE</w:t>
      </w:r>
      <w:r>
        <w:rPr>
          <w:rFonts w:ascii="Times New Roman" w:cs="Times New Roman" w:eastAsia="Times New Roman" w:hAnsi="Times New Roman"/>
          <w:sz w:val="18"/>
          <w:szCs w:val="18"/>
          <w:b w:val="1"/>
          <w:bCs w:val="1"/>
          <w:color w:val="auto"/>
        </w:rPr>
        <w:t xml:space="preserve"> 16, 2026</w:t>
      </w:r>
    </w:p>
    <w:p>
      <w:pPr>
        <w:spacing w:after="0" w:line="203" w:lineRule="exact"/>
        <w:rPr>
          <w:sz w:val="20"/>
          <w:szCs w:val="20"/>
          <w:color w:val="auto"/>
        </w:rPr>
      </w:pPr>
    </w:p>
    <w:p>
      <w:pPr>
        <w:ind w:left="184" w:hanging="184"/>
        <w:spacing w:after="0"/>
        <w:tabs>
          <w:tab w:leader="none" w:pos="184"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ENERAL</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4" w:right="40" w:firstLine="436"/>
        <w:spacing w:after="0" w:line="259" w:lineRule="auto"/>
        <w:tabs>
          <w:tab w:leader="none" w:pos="699" w:val="left"/>
        </w:tabs>
        <w:numPr>
          <w:ilvl w:val="1"/>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Successor to and Continuation of Prior Plan. </w:t>
      </w:r>
      <w:r>
        <w:rPr>
          <w:rFonts w:ascii="Times New Roman" w:cs="Times New Roman" w:eastAsia="Times New Roman" w:hAnsi="Times New Roman"/>
          <w:sz w:val="18"/>
          <w:szCs w:val="18"/>
          <w:color w:val="auto"/>
        </w:rPr>
        <w:t>The Plan is the successor to and continuation of the Prior Plan. As of the Effective Date, (i)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 awards may be granted under the Prior Plan; (ii) any Returning Shares will become available for issuance pursuant to Awards granted under this Plan; and (iii) all outstanding awards granted under the Prior Plan will remain subject to the terms of the Prior Plan (except to the extent such outstanding awards result in Returning Shares that become available for issuance pursuant to Awards granted under this Plan). All Awards granted under this Plan will be subject to the terms of this Plan.</w:t>
      </w:r>
    </w:p>
    <w:p>
      <w:pPr>
        <w:spacing w:after="0" w:line="71" w:lineRule="exact"/>
        <w:rPr>
          <w:rFonts w:ascii="Times New Roman" w:cs="Times New Roman" w:eastAsia="Times New Roman" w:hAnsi="Times New Roman"/>
          <w:sz w:val="18"/>
          <w:szCs w:val="18"/>
          <w:b w:val="1"/>
          <w:bCs w:val="1"/>
          <w:color w:val="auto"/>
        </w:rPr>
      </w:pPr>
    </w:p>
    <w:p>
      <w:pPr>
        <w:ind w:left="4" w:right="240" w:firstLine="436"/>
        <w:spacing w:after="0" w:line="268" w:lineRule="auto"/>
        <w:tabs>
          <w:tab w:leader="none" w:pos="709" w:val="left"/>
        </w:tabs>
        <w:numPr>
          <w:ilvl w:val="1"/>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Plan Purpose. </w:t>
      </w:r>
      <w:r>
        <w:rPr>
          <w:rFonts w:ascii="Times New Roman" w:cs="Times New Roman" w:eastAsia="Times New Roman" w:hAnsi="Times New Roman"/>
          <w:sz w:val="18"/>
          <w:szCs w:val="18"/>
          <w:color w:val="auto"/>
        </w:rPr>
        <w:t>The Company, by means of the Plan, seeks to secure and retain the services of Employees, Directors and Consultants,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incentives for such persons to exert maximum efforts for the success of the Company and any Affiliate and to provide a means by which such persons may be given an opportunity to benefit from increases in value of the Common Stock through the granting of Awards.</w:t>
      </w:r>
    </w:p>
    <w:p>
      <w:pPr>
        <w:spacing w:after="0" w:line="62" w:lineRule="exact"/>
        <w:rPr>
          <w:rFonts w:ascii="Times New Roman" w:cs="Times New Roman" w:eastAsia="Times New Roman" w:hAnsi="Times New Roman"/>
          <w:sz w:val="18"/>
          <w:szCs w:val="18"/>
          <w:b w:val="1"/>
          <w:bCs w:val="1"/>
          <w:color w:val="auto"/>
        </w:rPr>
      </w:pPr>
    </w:p>
    <w:p>
      <w:pPr>
        <w:ind w:left="684" w:hanging="244"/>
        <w:spacing w:after="0"/>
        <w:tabs>
          <w:tab w:leader="none" w:pos="684" w:val="left"/>
        </w:tabs>
        <w:numPr>
          <w:ilvl w:val="1"/>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Available Awards. </w:t>
      </w:r>
      <w:r>
        <w:rPr>
          <w:rFonts w:ascii="Times New Roman" w:cs="Times New Roman" w:eastAsia="Times New Roman" w:hAnsi="Times New Roman"/>
          <w:sz w:val="18"/>
          <w:szCs w:val="18"/>
          <w:color w:val="auto"/>
        </w:rPr>
        <w:t>The Plan provides for the grant of the following Awards: (i) Incentive Stock Options; (ii) Nonstatutory Stock Options;</w:t>
      </w:r>
    </w:p>
    <w:p>
      <w:pPr>
        <w:spacing w:after="0" w:line="31" w:lineRule="exact"/>
        <w:rPr>
          <w:sz w:val="20"/>
          <w:szCs w:val="20"/>
          <w:color w:val="auto"/>
        </w:rPr>
      </w:pPr>
    </w:p>
    <w:p>
      <w:pPr>
        <w:ind w:left="324" w:hanging="324"/>
        <w:spacing w:after="0"/>
        <w:tabs>
          <w:tab w:leader="none" w:pos="3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SARs; (iv) Restricted Stock Awards; (v) RSU Awards; (vi) Performance Awards; and (vii) Other Awards.</w:t>
      </w:r>
    </w:p>
    <w:p>
      <w:pPr>
        <w:spacing w:after="0" w:line="94"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Adoption Date; Effective Date. </w:t>
      </w:r>
      <w:r>
        <w:rPr>
          <w:rFonts w:ascii="Times New Roman" w:cs="Times New Roman" w:eastAsia="Times New Roman" w:hAnsi="Times New Roman"/>
          <w:sz w:val="18"/>
          <w:szCs w:val="18"/>
          <w:color w:val="auto"/>
        </w:rPr>
        <w:t>The Plan will come into existence on the Adoption Date, but no Award may be granted prior to the Effective</w:t>
      </w:r>
    </w:p>
    <w:p>
      <w:pPr>
        <w:spacing w:after="0" w:line="31" w:lineRule="exact"/>
        <w:rPr>
          <w:rFonts w:ascii="Times New Roman" w:cs="Times New Roman" w:eastAsia="Times New Roman" w:hAnsi="Times New Roman"/>
          <w:sz w:val="18"/>
          <w:szCs w:val="18"/>
          <w:b w:val="1"/>
          <w:bCs w:val="1"/>
          <w:color w:val="auto"/>
        </w:rPr>
      </w:pPr>
    </w:p>
    <w:p>
      <w:pPr>
        <w:ind w:left="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Date.</w:t>
      </w:r>
    </w:p>
    <w:p>
      <w:pPr>
        <w:spacing w:after="0" w:line="311" w:lineRule="exact"/>
        <w:rPr>
          <w:sz w:val="20"/>
          <w:szCs w:val="20"/>
          <w:color w:val="auto"/>
        </w:rPr>
      </w:pPr>
    </w:p>
    <w:p>
      <w:pPr>
        <w:ind w:left="184" w:hanging="184"/>
        <w:spacing w:after="0"/>
        <w:tabs>
          <w:tab w:leader="none" w:pos="184"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HARES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UBJECT TO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4" w:right="20" w:firstLine="436"/>
        <w:spacing w:after="0" w:line="241" w:lineRule="auto"/>
        <w:tabs>
          <w:tab w:leader="none" w:pos="699"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Reserve. </w:t>
      </w:r>
      <w:r>
        <w:rPr>
          <w:rFonts w:ascii="Times New Roman" w:cs="Times New Roman" w:eastAsia="Times New Roman" w:hAnsi="Times New Roman"/>
          <w:sz w:val="18"/>
          <w:szCs w:val="18"/>
          <w:color w:val="auto"/>
        </w:rPr>
        <w:t>Subject to adjustment in accordance with Section 2(c) and any adjustments as necessary to implement any Capitalization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Adjustments, the aggregate number of shares of Common Stock that may be issued pursuant to Awards will not exceed the sum of: (i) 850,000 shares that were approved at the Company’s 2026 Annual Meeting of Stockholders, plus (ii) 1,118,167 shares initially reserved under the Plan, plus (iii) 559,081 shares that were added pursuant to the annual automatic share increase on January 1, 2026, plus (iv) up to 0 Returning Shares, as such shares become available from time to time. In addition, subject to any adjustments as necessary to implement any Capitalization Adjustments, such aggregate number of shares of Common Stock will automatically increase on January 1 of each year for a period of ten years commencing on January 1, 2027 and ending on (and including) January 1, 2036, in an amount equal to five percent (5%) of the sum of (x) the total number of shares of Common Stock outstanding on December 31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of the preceding calendar year plus (y) the total number of shares of Common Stock issuable upon conversion of shares of Convertible Preferred Stock outstanding on</w:t>
      </w:r>
    </w:p>
    <w:p>
      <w:pPr>
        <w:spacing w:after="0" w:line="13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266" w:right="439" w:bottom="1440" w:gutter="0" w:footer="0" w:header="0"/>
        </w:sectPr>
      </w:pPr>
    </w:p>
    <w:bookmarkStart w:id="6" w:name="page7"/>
    <w:bookmarkEnd w:id="6"/>
    <w:p>
      <w:pPr>
        <w:jc w:val="both"/>
        <w:ind w:left="4" w:right="140"/>
        <w:spacing w:after="0" w:line="19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December 31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of the preceding calendar year plus (z) the total number of shares of Common Stock issuable upon cash exercise of Prefunded Warrants outstanding on December 31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of the preceding calendar year; provided, however, that the Board may act prior to January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of a given year to provide that the increase for such year will be a lesser number of shares of Common Stock.</w:t>
      </w:r>
    </w:p>
    <w:p>
      <w:pPr>
        <w:spacing w:after="0" w:line="88" w:lineRule="exact"/>
        <w:rPr>
          <w:sz w:val="20"/>
          <w:szCs w:val="20"/>
          <w:color w:val="auto"/>
        </w:rPr>
      </w:pPr>
    </w:p>
    <w:p>
      <w:pPr>
        <w:ind w:left="4" w:firstLine="436"/>
        <w:spacing w:after="0" w:line="268" w:lineRule="auto"/>
        <w:tabs>
          <w:tab w:leader="none" w:pos="709"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Incentive Stock Option Limit. </w:t>
      </w:r>
      <w:r>
        <w:rPr>
          <w:rFonts w:ascii="Times New Roman" w:cs="Times New Roman" w:eastAsia="Times New Roman" w:hAnsi="Times New Roman"/>
          <w:sz w:val="18"/>
          <w:szCs w:val="18"/>
          <w:color w:val="auto"/>
        </w:rPr>
        <w:t>Notwithstanding anything to the contrary in Section 2(a) and subject to any adjustments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necessary to implement any Capitalization Adjustments, the aggregate maximum number of shares of Common Stock that may be issued pursuant to the exercise of Incentive Stock Options is 7,581,744 shares.</w:t>
      </w:r>
    </w:p>
    <w:p>
      <w:pPr>
        <w:spacing w:after="0" w:line="62" w:lineRule="exact"/>
        <w:rPr>
          <w:rFonts w:ascii="Times New Roman" w:cs="Times New Roman" w:eastAsia="Times New Roman" w:hAnsi="Times New Roman"/>
          <w:sz w:val="18"/>
          <w:szCs w:val="18"/>
          <w:b w:val="1"/>
          <w:bCs w:val="1"/>
          <w:color w:val="auto"/>
        </w:rPr>
      </w:pPr>
    </w:p>
    <w:p>
      <w:pPr>
        <w:ind w:left="684" w:hanging="244"/>
        <w:spacing w:after="0"/>
        <w:tabs>
          <w:tab w:leader="none" w:pos="684"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Reserve Operation.</w:t>
      </w:r>
    </w:p>
    <w:p>
      <w:pPr>
        <w:spacing w:after="0" w:line="117" w:lineRule="exact"/>
        <w:rPr>
          <w:rFonts w:ascii="Times New Roman" w:cs="Times New Roman" w:eastAsia="Times New Roman" w:hAnsi="Times New Roman"/>
          <w:sz w:val="18"/>
          <w:szCs w:val="18"/>
          <w:b w:val="1"/>
          <w:bCs w:val="1"/>
          <w:color w:val="auto"/>
        </w:rPr>
      </w:pPr>
    </w:p>
    <w:p>
      <w:pPr>
        <w:ind w:left="4" w:right="320" w:firstLine="987"/>
        <w:spacing w:after="0" w:line="257" w:lineRule="auto"/>
        <w:tabs>
          <w:tab w:leader="none" w:pos="1210" w:val="left"/>
        </w:tabs>
        <w:numPr>
          <w:ilvl w:val="2"/>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 Applies to Common Stock Issued Pursuant to Awards. </w:t>
      </w:r>
      <w:r>
        <w:rPr>
          <w:rFonts w:ascii="Times New Roman" w:cs="Times New Roman" w:eastAsia="Times New Roman" w:hAnsi="Times New Roman"/>
          <w:sz w:val="18"/>
          <w:szCs w:val="18"/>
          <w:color w:val="auto"/>
        </w:rPr>
        <w:t>For clarity, the Share Reserve is a limit on the number of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that may be issued pursuant to Awards and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 NYSE Listed Company Manual Section 303A.08, NYSE American Company Guide Section 711 or other applicable rule, and such issuance will not reduce the number of shares available for issuance under the Plan.</w:t>
      </w:r>
    </w:p>
    <w:p>
      <w:pPr>
        <w:spacing w:after="0" w:line="74" w:lineRule="exact"/>
        <w:rPr>
          <w:rFonts w:ascii="Times New Roman" w:cs="Times New Roman" w:eastAsia="Times New Roman" w:hAnsi="Times New Roman"/>
          <w:sz w:val="18"/>
          <w:szCs w:val="18"/>
          <w:b w:val="1"/>
          <w:bCs w:val="1"/>
          <w:color w:val="auto"/>
        </w:rPr>
      </w:pPr>
    </w:p>
    <w:p>
      <w:pPr>
        <w:ind w:left="4" w:firstLine="987"/>
        <w:spacing w:after="0" w:line="257" w:lineRule="auto"/>
        <w:tabs>
          <w:tab w:leader="none" w:pos="1260" w:val="left"/>
        </w:tabs>
        <w:numPr>
          <w:ilvl w:val="2"/>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Actions that Do Not Constitute Issuance of Common Stock and Do Not Reduce Share Reserve. </w:t>
      </w:r>
      <w:r>
        <w:rPr>
          <w:rFonts w:ascii="Times New Roman" w:cs="Times New Roman" w:eastAsia="Times New Roman" w:hAnsi="Times New Roman"/>
          <w:sz w:val="18"/>
          <w:szCs w:val="18"/>
          <w:color w:val="auto"/>
        </w:rPr>
        <w:t>The following actions do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 in an issuance of shares under the Plan and accordingly do not reduce the number of shares subject to the Share Reserve and available for issuance under the Plan: (1) the expiration or termination of any portion of an Award without the shares covered by such portion of the Award having been issued; (2) the settlement of any portion of an Award in cash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Participant receives cash rather than Common Stock); (3) the withholding of shares that would otherwise be issued by the Company to satisfy the exercise, strike or purchase price of an Award; or (4) the withholding of shares that would otherwise be issued by the Company to satisfy a tax withholding obligation in connection with an Award.</w:t>
      </w:r>
    </w:p>
    <w:p>
      <w:pPr>
        <w:spacing w:after="0" w:line="74" w:lineRule="exact"/>
        <w:rPr>
          <w:rFonts w:ascii="Times New Roman" w:cs="Times New Roman" w:eastAsia="Times New Roman" w:hAnsi="Times New Roman"/>
          <w:sz w:val="18"/>
          <w:szCs w:val="18"/>
          <w:b w:val="1"/>
          <w:bCs w:val="1"/>
          <w:color w:val="auto"/>
        </w:rPr>
      </w:pPr>
    </w:p>
    <w:p>
      <w:pPr>
        <w:ind w:left="4" w:firstLine="987"/>
        <w:spacing w:after="0" w:line="259" w:lineRule="auto"/>
        <w:tabs>
          <w:tab w:leader="none" w:pos="1310" w:val="left"/>
        </w:tabs>
        <w:numPr>
          <w:ilvl w:val="2"/>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Reversion of Previously Issued Shares of Common Stock to Share Reserve. </w:t>
      </w:r>
      <w:r>
        <w:rPr>
          <w:rFonts w:ascii="Times New Roman" w:cs="Times New Roman" w:eastAsia="Times New Roman" w:hAnsi="Times New Roman"/>
          <w:sz w:val="18"/>
          <w:szCs w:val="18"/>
          <w:color w:val="auto"/>
        </w:rPr>
        <w:t>The following shares of Common Stock previously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issued pursuant to an Award and accordingly initially deducted from the Share Reserve will be added back to the Share Reserve and again become available for issuance under the Plan: (1) any shares that are forfeited back to or repurchased by the Company because of a failure to meet a contingency or condition required for the vesting of such shares; (2) any shares that are reacquired by the Company to satisfy the exercise, strike or purchase price of an Award; and (3) any shares that are reacquired by the Company to satisfy a tax withholding obligation in connection with an Award.</w:t>
      </w:r>
    </w:p>
    <w:p>
      <w:pPr>
        <w:spacing w:after="0" w:line="287" w:lineRule="exact"/>
        <w:rPr>
          <w:rFonts w:ascii="Times New Roman" w:cs="Times New Roman" w:eastAsia="Times New Roman" w:hAnsi="Times New Roman"/>
          <w:sz w:val="18"/>
          <w:szCs w:val="18"/>
          <w:b w:val="1"/>
          <w:bCs w:val="1"/>
          <w:color w:val="auto"/>
        </w:rPr>
      </w:pPr>
    </w:p>
    <w:p>
      <w:pPr>
        <w:ind w:left="184" w:hanging="184"/>
        <w:spacing w:after="0"/>
        <w:tabs>
          <w:tab w:leader="none" w:pos="184"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LIGIBILITY AND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IMITATIONS</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704" w:hanging="264"/>
        <w:spacing w:after="0"/>
        <w:tabs>
          <w:tab w:leader="none" w:pos="704" w:val="left"/>
        </w:tabs>
        <w:numPr>
          <w:ilvl w:val="1"/>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Eligible Award Recipients. </w:t>
      </w:r>
      <w:r>
        <w:rPr>
          <w:rFonts w:ascii="Times New Roman" w:cs="Times New Roman" w:eastAsia="Times New Roman" w:hAnsi="Times New Roman"/>
          <w:sz w:val="18"/>
          <w:szCs w:val="18"/>
          <w:color w:val="auto"/>
        </w:rPr>
        <w:t>Subject to the terms of the Plan, Employees, Directors and Consultants are eligible to receive Awards.</w:t>
      </w:r>
    </w:p>
    <w:p>
      <w:pPr>
        <w:spacing w:after="0" w:line="16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270" w:right="479" w:bottom="1440" w:gutter="0" w:footer="0" w:header="0"/>
        </w:sectPr>
      </w:pPr>
    </w:p>
    <w:bookmarkStart w:id="7" w:name="page8"/>
    <w:bookmarkEnd w:id="7"/>
    <w:p>
      <w:pPr>
        <w:ind w:left="704" w:hanging="264"/>
        <w:spacing w:after="0"/>
        <w:tabs>
          <w:tab w:leader="none" w:pos="704"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Specific Award Limitations.</w:t>
      </w:r>
    </w:p>
    <w:p>
      <w:pPr>
        <w:spacing w:after="0" w:line="117" w:lineRule="exact"/>
        <w:rPr>
          <w:rFonts w:ascii="Times New Roman" w:cs="Times New Roman" w:eastAsia="Times New Roman" w:hAnsi="Times New Roman"/>
          <w:sz w:val="18"/>
          <w:szCs w:val="18"/>
          <w:b w:val="1"/>
          <w:bCs w:val="1"/>
          <w:color w:val="auto"/>
        </w:rPr>
      </w:pPr>
    </w:p>
    <w:p>
      <w:pPr>
        <w:ind w:left="4" w:right="60" w:firstLine="987"/>
        <w:spacing w:after="0" w:line="286" w:lineRule="auto"/>
        <w:tabs>
          <w:tab w:leader="none" w:pos="1210" w:val="left"/>
        </w:tabs>
        <w:numPr>
          <w:ilvl w:val="2"/>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Limitations on Incentive Stock Option Recipients. </w:t>
      </w:r>
      <w:r>
        <w:rPr>
          <w:rFonts w:ascii="Times New Roman" w:cs="Times New Roman" w:eastAsia="Times New Roman" w:hAnsi="Times New Roman"/>
          <w:sz w:val="18"/>
          <w:szCs w:val="18"/>
          <w:color w:val="auto"/>
        </w:rPr>
        <w:t>Incentive Stock Options may be granted only to Employees of the Company 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“parent corporation” or “subsidiary corporation” thereof (as such terms are defined in Sections 424(e) and (f) of the Code).</w:t>
      </w:r>
    </w:p>
    <w:p>
      <w:pPr>
        <w:spacing w:after="0" w:line="46" w:lineRule="exact"/>
        <w:rPr>
          <w:rFonts w:ascii="Times New Roman" w:cs="Times New Roman" w:eastAsia="Times New Roman" w:hAnsi="Times New Roman"/>
          <w:sz w:val="18"/>
          <w:szCs w:val="18"/>
          <w:b w:val="1"/>
          <w:bCs w:val="1"/>
          <w:color w:val="auto"/>
        </w:rPr>
      </w:pPr>
    </w:p>
    <w:p>
      <w:pPr>
        <w:ind w:left="4" w:firstLine="987"/>
        <w:spacing w:after="0" w:line="257" w:lineRule="auto"/>
        <w:tabs>
          <w:tab w:leader="none" w:pos="1260" w:val="left"/>
        </w:tabs>
        <w:numPr>
          <w:ilvl w:val="2"/>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Incentive Stock Option $100,000 Limitation. </w:t>
      </w:r>
      <w:r>
        <w:rPr>
          <w:rFonts w:ascii="Times New Roman" w:cs="Times New Roman" w:eastAsia="Times New Roman" w:hAnsi="Times New Roman"/>
          <w:sz w:val="18"/>
          <w:szCs w:val="18"/>
          <w:color w:val="auto"/>
        </w:rPr>
        <w:t>To the extent that the aggregate Fair Market Value (determined at the time of grant)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74" w:lineRule="exact"/>
        <w:rPr>
          <w:rFonts w:ascii="Times New Roman" w:cs="Times New Roman" w:eastAsia="Times New Roman" w:hAnsi="Times New Roman"/>
          <w:sz w:val="18"/>
          <w:szCs w:val="18"/>
          <w:b w:val="1"/>
          <w:bCs w:val="1"/>
          <w:color w:val="auto"/>
        </w:rPr>
      </w:pPr>
    </w:p>
    <w:p>
      <w:pPr>
        <w:ind w:left="4" w:right="60" w:firstLine="987"/>
        <w:spacing w:after="0" w:line="278" w:lineRule="auto"/>
        <w:tabs>
          <w:tab w:leader="none" w:pos="1310" w:val="left"/>
        </w:tabs>
        <w:numPr>
          <w:ilvl w:val="2"/>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Limitations on Incentive Stock Options Granted to Ten Percent Stockholders. </w:t>
      </w:r>
      <w:r>
        <w:rPr>
          <w:rFonts w:ascii="Times New Roman" w:cs="Times New Roman" w:eastAsia="Times New Roman" w:hAnsi="Times New Roman"/>
          <w:sz w:val="17"/>
          <w:szCs w:val="17"/>
          <w:color w:val="auto"/>
        </w:rPr>
        <w:t>A Ten Percent Stockholder may not be granted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Incentive Stock Option unless (1) the exercise price of such Option is at least 110% of the Fair Market Value on the date of grant of such Option and</w:t>
      </w:r>
    </w:p>
    <w:p>
      <w:pPr>
        <w:spacing w:after="0" w:line="1" w:lineRule="exact"/>
        <w:rPr>
          <w:rFonts w:ascii="Times New Roman" w:cs="Times New Roman" w:eastAsia="Times New Roman" w:hAnsi="Times New Roman"/>
          <w:sz w:val="17"/>
          <w:szCs w:val="17"/>
          <w:b w:val="1"/>
          <w:bCs w:val="1"/>
          <w:color w:val="auto"/>
        </w:rPr>
      </w:pPr>
    </w:p>
    <w:p>
      <w:pPr>
        <w:ind w:left="264" w:hanging="264"/>
        <w:spacing w:after="0"/>
        <w:tabs>
          <w:tab w:leader="none" w:pos="2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is not exercisable after the expiration of five years from the date of grant of such Option.</w:t>
      </w:r>
    </w:p>
    <w:p>
      <w:pPr>
        <w:spacing w:after="0" w:line="94" w:lineRule="exact"/>
        <w:rPr>
          <w:rFonts w:ascii="Times New Roman" w:cs="Times New Roman" w:eastAsia="Times New Roman" w:hAnsi="Times New Roman"/>
          <w:sz w:val="18"/>
          <w:szCs w:val="18"/>
          <w:color w:val="auto"/>
        </w:rPr>
      </w:pPr>
    </w:p>
    <w:p>
      <w:pPr>
        <w:ind w:left="4" w:right="140" w:firstLine="987"/>
        <w:spacing w:after="0" w:line="268" w:lineRule="auto"/>
        <w:tabs>
          <w:tab w:leader="none" w:pos="1300" w:val="left"/>
        </w:tabs>
        <w:numPr>
          <w:ilvl w:val="2"/>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Limitations on Nonstatutory Stock Options and SARs. </w:t>
      </w:r>
      <w:r>
        <w:rPr>
          <w:rFonts w:ascii="Times New Roman" w:cs="Times New Roman" w:eastAsia="Times New Roman" w:hAnsi="Times New Roman"/>
          <w:sz w:val="18"/>
          <w:szCs w:val="18"/>
          <w:color w:val="auto"/>
        </w:rPr>
        <w:t>Nonstatutory Stock Options and SARs may not be granted to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and Consultants unless the stock underlying such Awards is treated as “service recipient stock” under Section 409A or unless such Awards otherwise comply with the requirements of Section 409A.</w:t>
      </w:r>
    </w:p>
    <w:p>
      <w:pPr>
        <w:spacing w:after="0" w:line="62" w:lineRule="exact"/>
        <w:rPr>
          <w:rFonts w:ascii="Times New Roman" w:cs="Times New Roman" w:eastAsia="Times New Roman" w:hAnsi="Times New Roman"/>
          <w:sz w:val="18"/>
          <w:szCs w:val="18"/>
          <w:b w:val="1"/>
          <w:bCs w:val="1"/>
          <w:color w:val="auto"/>
        </w:rPr>
      </w:pPr>
    </w:p>
    <w:p>
      <w:pPr>
        <w:ind w:left="4" w:right="160" w:firstLine="436"/>
        <w:spacing w:after="0" w:line="286" w:lineRule="auto"/>
        <w:tabs>
          <w:tab w:leader="none" w:pos="689"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Incentive Stock Option Limit. </w:t>
      </w:r>
      <w:r>
        <w:rPr>
          <w:rFonts w:ascii="Times New Roman" w:cs="Times New Roman" w:eastAsia="Times New Roman" w:hAnsi="Times New Roman"/>
          <w:sz w:val="18"/>
          <w:szCs w:val="18"/>
          <w:color w:val="auto"/>
        </w:rPr>
        <w:t>The aggregate maximum number of shares of Common Stock that may be issued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of Incentive Stock Options is the number of shares specified in Section 2(b).</w:t>
      </w:r>
    </w:p>
    <w:p>
      <w:pPr>
        <w:spacing w:after="0" w:line="46" w:lineRule="exact"/>
        <w:rPr>
          <w:rFonts w:ascii="Times New Roman" w:cs="Times New Roman" w:eastAsia="Times New Roman" w:hAnsi="Times New Roman"/>
          <w:sz w:val="18"/>
          <w:szCs w:val="18"/>
          <w:b w:val="1"/>
          <w:bCs w:val="1"/>
          <w:color w:val="auto"/>
        </w:rPr>
      </w:pPr>
    </w:p>
    <w:p>
      <w:pPr>
        <w:ind w:left="4" w:right="20" w:firstLine="436"/>
        <w:spacing w:after="0" w:line="259" w:lineRule="auto"/>
        <w:tabs>
          <w:tab w:leader="none" w:pos="709"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Non-Employee Director Compensation Limit. </w:t>
      </w:r>
      <w:r>
        <w:rPr>
          <w:rFonts w:ascii="Times New Roman" w:cs="Times New Roman" w:eastAsia="Times New Roman" w:hAnsi="Times New Roman"/>
          <w:sz w:val="18"/>
          <w:szCs w:val="18"/>
          <w:color w:val="auto"/>
        </w:rPr>
        <w:t>The aggregate value of all compensation granted or paid, as applicable, to any individual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as a Non-Employee Director with respect to any calendar year, including Awards granted and cash fees paid by the Company to such Non-Employee Director, will not exceed (1) $750,000 in total value or (2) in the event such Non-Employee Director is first appointed or elected to the Board during such calendar year, $1,000,000 in total value, in each case, calculating the value of any equity awards based on the grant date fair value of such equity awards for financial reporting purposes.</w:t>
      </w:r>
    </w:p>
    <w:p>
      <w:pPr>
        <w:spacing w:after="0" w:line="287" w:lineRule="exact"/>
        <w:rPr>
          <w:sz w:val="20"/>
          <w:szCs w:val="20"/>
          <w:color w:val="auto"/>
        </w:rPr>
      </w:pPr>
    </w:p>
    <w:p>
      <w:pPr>
        <w:ind w:left="184" w:hanging="184"/>
        <w:spacing w:after="0"/>
        <w:tabs>
          <w:tab w:leader="none" w:pos="184"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PTIONS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PPRECIATION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Each Option and SAR will have such terms and conditions as determined by the Board. Each Option will be designated in writing as an Incentive Stock Option or Nonstatutory Stock Option at the time of grant; provided, however, that if an Option is not so designated or if an Option designated as an Incentive Stock Option fails to qualify as an Incentive Stock Option, then such Option will be a Nonstatutory Stock Option, and the shares purchased upon exercise of each type of Option will be separately accounted for. Each SAR will be denominated in shares of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w:t>
      </w:r>
    </w:p>
    <w:p>
      <w:pPr>
        <w:spacing w:after="0" w:line="121"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4"/>
          </w:cols>
          <w:pgMar w:left="436" w:top="266" w:right="519" w:bottom="1440" w:gutter="0" w:footer="0" w:header="0"/>
        </w:sectPr>
      </w:pPr>
    </w:p>
    <w:bookmarkStart w:id="8" w:name="page9"/>
    <w:bookmarkEnd w:id="8"/>
    <w:p>
      <w:pPr>
        <w:ind w:left="-20" w:right="40" w:firstLine="436"/>
        <w:spacing w:after="0" w:line="286" w:lineRule="auto"/>
        <w:tabs>
          <w:tab w:leader="none" w:pos="67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Term. </w:t>
      </w:r>
      <w:r>
        <w:rPr>
          <w:rFonts w:ascii="Times New Roman" w:cs="Times New Roman" w:eastAsia="Times New Roman" w:hAnsi="Times New Roman"/>
          <w:sz w:val="18"/>
          <w:szCs w:val="18"/>
          <w:color w:val="auto"/>
        </w:rPr>
        <w:t>Subject to Section 3(b) regarding Ten Percent Stockholders, no Option or SAR will be exercisable after the expiration of ten years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date of grant of such Award or such shorter period specified in the Award Agreement.</w:t>
      </w:r>
    </w:p>
    <w:p>
      <w:pPr>
        <w:spacing w:after="0" w:line="46" w:lineRule="exact"/>
        <w:rPr>
          <w:rFonts w:ascii="Times New Roman" w:cs="Times New Roman" w:eastAsia="Times New Roman" w:hAnsi="Times New Roman"/>
          <w:sz w:val="18"/>
          <w:szCs w:val="18"/>
          <w:b w:val="1"/>
          <w:bCs w:val="1"/>
          <w:color w:val="auto"/>
        </w:rPr>
      </w:pPr>
    </w:p>
    <w:p>
      <w:pPr>
        <w:ind w:left="-20" w:right="100" w:firstLine="436"/>
        <w:spacing w:after="0" w:line="259" w:lineRule="auto"/>
        <w:tabs>
          <w:tab w:leader="none" w:pos="68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or Strike Price. </w:t>
      </w:r>
      <w:r>
        <w:rPr>
          <w:rFonts w:ascii="Times New Roman" w:cs="Times New Roman" w:eastAsia="Times New Roman" w:hAnsi="Times New Roman"/>
          <w:sz w:val="18"/>
          <w:szCs w:val="18"/>
          <w:color w:val="auto"/>
        </w:rPr>
        <w:t>Subject to Section 3(b) regarding Ten Percent Stockholders, the exercise or strike price of each Option or SAR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Sections 409A and, if applicable, 424(a) of the Code.</w:t>
      </w:r>
    </w:p>
    <w:p>
      <w:pPr>
        <w:spacing w:after="0" w:line="71" w:lineRule="exact"/>
        <w:rPr>
          <w:rFonts w:ascii="Times New Roman" w:cs="Times New Roman" w:eastAsia="Times New Roman" w:hAnsi="Times New Roman"/>
          <w:sz w:val="18"/>
          <w:szCs w:val="18"/>
          <w:b w:val="1"/>
          <w:bCs w:val="1"/>
          <w:color w:val="auto"/>
        </w:rPr>
      </w:pPr>
    </w:p>
    <w:p>
      <w:pPr>
        <w:ind w:left="-20" w:right="180" w:firstLine="436"/>
        <w:spacing w:after="0" w:line="257" w:lineRule="auto"/>
        <w:tabs>
          <w:tab w:leader="none" w:pos="66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Procedure and Payment of Exercise Price for Options. </w:t>
      </w:r>
      <w:r>
        <w:rPr>
          <w:rFonts w:ascii="Times New Roman" w:cs="Times New Roman" w:eastAsia="Times New Roman" w:hAnsi="Times New Roman"/>
          <w:sz w:val="18"/>
          <w:szCs w:val="18"/>
          <w:color w:val="auto"/>
        </w:rPr>
        <w:t>In order to exercise an Option, the Participant must provide notice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w:t>
      </w:r>
    </w:p>
    <w:p>
      <w:pPr>
        <w:spacing w:after="0" w:line="78" w:lineRule="exact"/>
        <w:rPr>
          <w:rFonts w:ascii="Times New Roman" w:cs="Times New Roman" w:eastAsia="Times New Roman" w:hAnsi="Times New Roman"/>
          <w:sz w:val="18"/>
          <w:szCs w:val="18"/>
          <w:b w:val="1"/>
          <w:bCs w:val="1"/>
          <w:color w:val="auto"/>
        </w:rPr>
      </w:pPr>
    </w:p>
    <w:p>
      <w:pPr>
        <w:ind w:left="1180" w:hanging="213"/>
        <w:spacing w:after="0"/>
        <w:tabs>
          <w:tab w:leader="none" w:pos="1180"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cash or check, bank draft or money order payable to the Company;</w:t>
      </w:r>
    </w:p>
    <w:p>
      <w:pPr>
        <w:spacing w:after="0" w:line="117" w:lineRule="exact"/>
        <w:rPr>
          <w:rFonts w:ascii="Times New Roman" w:cs="Times New Roman" w:eastAsia="Times New Roman" w:hAnsi="Times New Roman"/>
          <w:sz w:val="18"/>
          <w:szCs w:val="18"/>
          <w:b w:val="1"/>
          <w:bCs w:val="1"/>
          <w:color w:val="auto"/>
        </w:rPr>
      </w:pPr>
    </w:p>
    <w:p>
      <w:pPr>
        <w:ind w:left="-20" w:right="60" w:firstLine="987"/>
        <w:spacing w:after="0" w:line="266" w:lineRule="auto"/>
        <w:tabs>
          <w:tab w:leader="none" w:pos="1236"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a “cashless exercise” program developed under Regulation T as promulgated by the U.S. Federal Reserve Board that, prior to the issuance of the Common Stock subject to the Option, results in either the receipt of cash (or check) by the Company or the receipt of irrevocable instructions to pay the exercise price to the Company from the sales proceeds;</w:t>
      </w:r>
    </w:p>
    <w:p>
      <w:pPr>
        <w:spacing w:after="0" w:line="67" w:lineRule="exact"/>
        <w:rPr>
          <w:rFonts w:ascii="Times New Roman" w:cs="Times New Roman" w:eastAsia="Times New Roman" w:hAnsi="Times New Roman"/>
          <w:sz w:val="18"/>
          <w:szCs w:val="18"/>
          <w:b w:val="1"/>
          <w:bCs w:val="1"/>
          <w:color w:val="auto"/>
        </w:rPr>
      </w:pPr>
    </w:p>
    <w:p>
      <w:pPr>
        <w:ind w:left="-20" w:firstLine="987"/>
        <w:spacing w:after="0" w:line="255" w:lineRule="auto"/>
        <w:tabs>
          <w:tab w:leader="none" w:pos="1286"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60" w:top="266" w:right="459" w:bottom="1440" w:gutter="0" w:footer="0" w:header="0"/>
        </w:sectPr>
      </w:pPr>
    </w:p>
    <w:bookmarkStart w:id="9" w:name="page10"/>
    <w:bookmarkEnd w:id="9"/>
    <w:p>
      <w:pPr>
        <w:jc w:val="both"/>
        <w:ind w:right="40" w:firstLine="987"/>
        <w:spacing w:after="0" w:line="261" w:lineRule="auto"/>
        <w:tabs>
          <w:tab w:leader="none" w:pos="1296"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Option is a Nonstatutory Stock Option, by a “net exercise” arrangement pursuant to which the Company will reduce the 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w:t>
      </w:r>
    </w:p>
    <w:p>
      <w:pPr>
        <w:spacing w:after="0" w:line="71" w:lineRule="exact"/>
        <w:rPr>
          <w:rFonts w:ascii="Times New Roman" w:cs="Times New Roman" w:eastAsia="Times New Roman" w:hAnsi="Times New Roman"/>
          <w:sz w:val="18"/>
          <w:szCs w:val="18"/>
          <w:b w:val="1"/>
          <w:bCs w:val="1"/>
          <w:color w:val="auto"/>
        </w:rPr>
      </w:pPr>
    </w:p>
    <w:p>
      <w:pPr>
        <w:ind w:left="1240" w:hanging="253"/>
        <w:spacing w:after="0"/>
        <w:tabs>
          <w:tab w:leader="none" w:pos="1240"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any other form of consideration that may be acceptable to the Board and permissible under Applicable Law.</w:t>
      </w:r>
    </w:p>
    <w:p>
      <w:pPr>
        <w:spacing w:after="0" w:line="113" w:lineRule="exact"/>
        <w:rPr>
          <w:rFonts w:ascii="Times New Roman" w:cs="Times New Roman" w:eastAsia="Times New Roman" w:hAnsi="Times New Roman"/>
          <w:sz w:val="18"/>
          <w:szCs w:val="18"/>
          <w:b w:val="1"/>
          <w:bCs w:val="1"/>
          <w:color w:val="auto"/>
        </w:rPr>
      </w:pPr>
    </w:p>
    <w:p>
      <w:pPr>
        <w:ind w:right="40" w:firstLine="436"/>
        <w:spacing w:after="0" w:line="257" w:lineRule="auto"/>
        <w:tabs>
          <w:tab w:leader="none" w:pos="705"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Procedure and Payment of Appreciation Distribution for SARs. </w:t>
      </w:r>
      <w:r>
        <w:rPr>
          <w:rFonts w:ascii="Times New Roman" w:cs="Times New Roman" w:eastAsia="Times New Roman" w:hAnsi="Times New Roman"/>
          <w:sz w:val="18"/>
          <w:szCs w:val="18"/>
          <w:color w:val="auto"/>
        </w:rPr>
        <w:t>In order to exercise any SAR, the Participant must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exercise to the Plan Administrator in accordance with the SAR 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SAR Agreement.</w:t>
      </w:r>
    </w:p>
    <w:p>
      <w:pPr>
        <w:spacing w:after="0" w:line="74" w:lineRule="exact"/>
        <w:rPr>
          <w:rFonts w:ascii="Times New Roman" w:cs="Times New Roman" w:eastAsia="Times New Roman" w:hAnsi="Times New Roman"/>
          <w:sz w:val="18"/>
          <w:szCs w:val="18"/>
          <w:b w:val="1"/>
          <w:bCs w:val="1"/>
          <w:color w:val="auto"/>
        </w:rPr>
      </w:pPr>
    </w:p>
    <w:p>
      <w:pPr>
        <w:ind w:right="140" w:firstLine="436"/>
        <w:spacing w:after="0" w:line="259" w:lineRule="auto"/>
        <w:tabs>
          <w:tab w:leader="none" w:pos="685"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Transferability. </w:t>
      </w:r>
      <w:r>
        <w:rPr>
          <w:rFonts w:ascii="Times New Roman" w:cs="Times New Roman" w:eastAsia="Times New Roman" w:hAnsi="Times New Roman"/>
          <w:sz w:val="18"/>
          <w:szCs w:val="18"/>
          <w:color w:val="auto"/>
        </w:rPr>
        <w:t>Options and SARs may not be transferred to third party financial institutions for value. The Board may impose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additional 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if an Option is an Incentive Stock Option, such Option may be deemed to be a Nonstatutory Stock Option as a result of such transfer:</w:t>
      </w:r>
    </w:p>
    <w:p>
      <w:pPr>
        <w:spacing w:after="0" w:line="71" w:lineRule="exact"/>
        <w:rPr>
          <w:rFonts w:ascii="Times New Roman" w:cs="Times New Roman" w:eastAsia="Times New Roman" w:hAnsi="Times New Roman"/>
          <w:sz w:val="18"/>
          <w:szCs w:val="18"/>
          <w:b w:val="1"/>
          <w:bCs w:val="1"/>
          <w:color w:val="auto"/>
        </w:rPr>
      </w:pPr>
    </w:p>
    <w:p>
      <w:pPr>
        <w:ind w:firstLine="987"/>
        <w:spacing w:after="0" w:line="259" w:lineRule="auto"/>
        <w:tabs>
          <w:tab w:leader="none" w:pos="1206"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Restrictions on Transfer. </w:t>
      </w:r>
      <w:r>
        <w:rPr>
          <w:rFonts w:ascii="Times New Roman" w:cs="Times New Roman" w:eastAsia="Times New Roman" w:hAnsi="Times New Roman"/>
          <w:sz w:val="18"/>
          <w:szCs w:val="18"/>
          <w:color w:val="auto"/>
        </w:rPr>
        <w:t>An Option or SAR will not be transferable, except by will or by the laws of descent and distribution, and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exercisable during the lifetime of the Participant only by the Participant; provided, however,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state law) while such Option or SAR is held in such trust, provided that the Participant and the trustee enter into a transfer and other agreements required by the Company.</w:t>
      </w:r>
    </w:p>
    <w:p>
      <w:pPr>
        <w:spacing w:after="0" w:line="71" w:lineRule="exact"/>
        <w:rPr>
          <w:rFonts w:ascii="Times New Roman" w:cs="Times New Roman" w:eastAsia="Times New Roman" w:hAnsi="Times New Roman"/>
          <w:sz w:val="18"/>
          <w:szCs w:val="18"/>
          <w:b w:val="1"/>
          <w:bCs w:val="1"/>
          <w:color w:val="auto"/>
        </w:rPr>
      </w:pPr>
    </w:p>
    <w:p>
      <w:pPr>
        <w:ind w:right="40" w:firstLine="987"/>
        <w:spacing w:after="0" w:line="268" w:lineRule="auto"/>
        <w:tabs>
          <w:tab w:leader="none" w:pos="1256"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Domestic Relations Orders. </w:t>
      </w:r>
      <w:r>
        <w:rPr>
          <w:rFonts w:ascii="Times New Roman" w:cs="Times New Roman" w:eastAsia="Times New Roman" w:hAnsi="Times New Roman"/>
          <w:sz w:val="18"/>
          <w:szCs w:val="18"/>
          <w:color w:val="auto"/>
        </w:rPr>
        <w:t>Notwithstanding the foregoing, subject to the execution of transfer documentation in a format acceptable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Company and subject to the approval of the Board or a duly authorized Officer, an Option or SAR may be transferred pursuant to a domestic relations order.</w:t>
      </w:r>
    </w:p>
    <w:p>
      <w:pPr>
        <w:spacing w:after="0" w:line="62" w:lineRule="exact"/>
        <w:rPr>
          <w:rFonts w:ascii="Times New Roman" w:cs="Times New Roman" w:eastAsia="Times New Roman" w:hAnsi="Times New Roman"/>
          <w:sz w:val="18"/>
          <w:szCs w:val="18"/>
          <w:b w:val="1"/>
          <w:bCs w:val="1"/>
          <w:color w:val="auto"/>
        </w:rPr>
      </w:pPr>
    </w:p>
    <w:p>
      <w:pPr>
        <w:jc w:val="both"/>
        <w:ind w:right="220" w:firstLine="436"/>
        <w:spacing w:after="0" w:line="268" w:lineRule="auto"/>
        <w:tabs>
          <w:tab w:leader="none" w:pos="665"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The Board may impose such restrictions on or conditions to the vesting and/or exercisability of an Option or SAR as determined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Except as otherwise provided in the applicable Award Agreement or other written agreement between a Participant and the Company or an Affiliate, vesting of Options and SARs will cease upon termination of the Participant’s Continuous Service.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0" w:name="page11"/>
    <w:bookmarkEnd w:id="10"/>
    <w:p>
      <w:pPr>
        <w:ind w:firstLine="436"/>
        <w:spacing w:after="0" w:line="257" w:lineRule="auto"/>
        <w:tabs>
          <w:tab w:leader="none" w:pos="695"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Termination of Continuous Service for Cause. </w:t>
      </w:r>
      <w:r>
        <w:rPr>
          <w:rFonts w:ascii="Times New Roman" w:cs="Times New Roman" w:eastAsia="Times New Roman" w:hAnsi="Times New Roman"/>
          <w:sz w:val="18"/>
          <w:szCs w:val="18"/>
          <w:color w:val="auto"/>
        </w:rPr>
        <w:t>Except as explicitly otherwise provided in the Award Agreement or other written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a Participant and the Company or an Affiliate,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w:t>
      </w:r>
    </w:p>
    <w:p>
      <w:pPr>
        <w:spacing w:after="0" w:line="74" w:lineRule="exact"/>
        <w:rPr>
          <w:rFonts w:ascii="Times New Roman" w:cs="Times New Roman" w:eastAsia="Times New Roman" w:hAnsi="Times New Roman"/>
          <w:sz w:val="18"/>
          <w:szCs w:val="18"/>
          <w:b w:val="1"/>
          <w:bCs w:val="1"/>
          <w:color w:val="auto"/>
        </w:rPr>
      </w:pPr>
    </w:p>
    <w:p>
      <w:pPr>
        <w:ind w:right="40" w:firstLine="436"/>
        <w:spacing w:after="0" w:line="259" w:lineRule="auto"/>
        <w:tabs>
          <w:tab w:leader="none" w:pos="705"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Post-Termination Exercise Period Following Termination of Continuous Service for Reasons Other than Cause. </w:t>
      </w:r>
      <w:r>
        <w:rPr>
          <w:rFonts w:ascii="Times New Roman" w:cs="Times New Roman" w:eastAsia="Times New Roman" w:hAnsi="Times New Roman"/>
          <w:sz w:val="18"/>
          <w:szCs w:val="18"/>
          <w:color w:val="auto"/>
        </w:rPr>
        <w:t>Subject to Section 4(i),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 Participant’s Continuous Service terminates for any reason other than for Cause, the Participant may exercise his or her Option or SAR to the extent vested, but only within the following period of time or, if applicable, such other period of time provided in the Award Agreement or other written agreement between a Participant and the Company or an Affiliate; provided, however, that in no event may such Award be exercised after the expiration of its maximum term (as set forth in Section 4(a)):</w:t>
      </w:r>
    </w:p>
    <w:p>
      <w:pPr>
        <w:spacing w:after="0" w:line="75" w:lineRule="exact"/>
        <w:rPr>
          <w:rFonts w:ascii="Times New Roman" w:cs="Times New Roman" w:eastAsia="Times New Roman" w:hAnsi="Times New Roman"/>
          <w:sz w:val="18"/>
          <w:szCs w:val="18"/>
          <w:b w:val="1"/>
          <w:bCs w:val="1"/>
          <w:color w:val="auto"/>
        </w:rPr>
      </w:pPr>
    </w:p>
    <w:p>
      <w:pPr>
        <w:ind w:right="100" w:firstLine="987"/>
        <w:spacing w:after="0" w:line="282" w:lineRule="auto"/>
        <w:tabs>
          <w:tab w:leader="none" w:pos="1206"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three months following the date of such termination if such termination is a termination without Cause (other than any termination due to the Participant’s Disability or death);</w:t>
      </w:r>
    </w:p>
    <w:p>
      <w:pPr>
        <w:spacing w:after="0" w:line="53" w:lineRule="exact"/>
        <w:rPr>
          <w:rFonts w:ascii="Times New Roman" w:cs="Times New Roman" w:eastAsia="Times New Roman" w:hAnsi="Times New Roman"/>
          <w:sz w:val="18"/>
          <w:szCs w:val="18"/>
          <w:b w:val="1"/>
          <w:bCs w:val="1"/>
          <w:color w:val="auto"/>
        </w:rPr>
      </w:pPr>
    </w:p>
    <w:p>
      <w:pPr>
        <w:ind w:left="1260" w:hanging="273"/>
        <w:spacing w:after="0"/>
        <w:tabs>
          <w:tab w:leader="none" w:pos="1260"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 months following the date of such termination if such termination is due to the Participant’s Disability;</w:t>
      </w:r>
    </w:p>
    <w:p>
      <w:pPr>
        <w:spacing w:after="0" w:line="117" w:lineRule="exact"/>
        <w:rPr>
          <w:rFonts w:ascii="Times New Roman" w:cs="Times New Roman" w:eastAsia="Times New Roman" w:hAnsi="Times New Roman"/>
          <w:sz w:val="18"/>
          <w:szCs w:val="18"/>
          <w:b w:val="1"/>
          <w:bCs w:val="1"/>
          <w:color w:val="auto"/>
        </w:rPr>
      </w:pPr>
    </w:p>
    <w:p>
      <w:pPr>
        <w:ind w:left="1300" w:hanging="313"/>
        <w:spacing w:after="0"/>
        <w:tabs>
          <w:tab w:leader="none" w:pos="1300"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 months following the date of such termination if such termination is due to the Participant’s death; or</w:t>
      </w:r>
    </w:p>
    <w:p>
      <w:pPr>
        <w:spacing w:after="0" w:line="117" w:lineRule="exact"/>
        <w:rPr>
          <w:rFonts w:ascii="Times New Roman" w:cs="Times New Roman" w:eastAsia="Times New Roman" w:hAnsi="Times New Roman"/>
          <w:sz w:val="18"/>
          <w:szCs w:val="18"/>
          <w:b w:val="1"/>
          <w:bCs w:val="1"/>
          <w:color w:val="auto"/>
        </w:rPr>
      </w:pPr>
    </w:p>
    <w:p>
      <w:pPr>
        <w:ind w:right="420" w:firstLine="987"/>
        <w:spacing w:after="0" w:line="282" w:lineRule="auto"/>
        <w:tabs>
          <w:tab w:leader="none" w:pos="1296"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 months following the date of the Participant’s death if such death occurs following the date of such termination but during the period such Award is otherwise exercisable (as provided in (i) or (ii) above).</w:t>
      </w:r>
    </w:p>
    <w:p>
      <w:pPr>
        <w:spacing w:after="0" w:line="162"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the terminated Award, the shares of Common Stock subject to the terminated Award, or any consideration in respect of the terminated Award.</w:t>
      </w:r>
    </w:p>
    <w:p>
      <w:pPr>
        <w:spacing w:after="0" w:line="68" w:lineRule="exact"/>
        <w:rPr>
          <w:sz w:val="20"/>
          <w:szCs w:val="20"/>
          <w:color w:val="auto"/>
        </w:rPr>
      </w:pPr>
    </w:p>
    <w:p>
      <w:pPr>
        <w:ind w:right="60" w:firstLine="436"/>
        <w:spacing w:after="0" w:line="257" w:lineRule="auto"/>
        <w:tabs>
          <w:tab w:leader="none" w:pos="655"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Restrictions on Exercise; Extension of Exercisability. </w:t>
      </w:r>
      <w:r>
        <w:rPr>
          <w:rFonts w:ascii="Times New Roman" w:cs="Times New Roman" w:eastAsia="Times New Roman" w:hAnsi="Times New Roman"/>
          <w:sz w:val="18"/>
          <w:szCs w:val="18"/>
          <w:color w:val="auto"/>
        </w:rPr>
        <w:t>A Participant may not exercise an Option or SAR at any time that the issuance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upon such exercise would violate Applicable Law. Except as otherwise provided in the Award Agreement or other written agreement between a Participant and the Company or an Affiliate, if a Participant’s Continuous Service terminates for any reason other than for Cause and, at any time during the last thirty days of the applicable Post-Termination Exercise Period: (i) the exercise of the Participant’s Option or SAR would be prohibited solely because the issuance of shares of Common Stock upon such exercise would violate Applicable Law, or (ii) the immediate sale of any shares of Common Stock issued upon such exercise would violate the Company’s Trading Policy, then the applicable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6" w:right="459" w:bottom="1440" w:gutter="0" w:footer="0" w:header="0"/>
        </w:sectPr>
      </w:pPr>
    </w:p>
    <w:bookmarkStart w:id="11" w:name="page12"/>
    <w:bookmarkEnd w:id="11"/>
    <w:p>
      <w:pPr>
        <w:jc w:val="both"/>
        <w:ind w:left="4"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w:t>
      </w:r>
    </w:p>
    <w:p>
      <w:pPr>
        <w:spacing w:after="0" w:line="68" w:lineRule="exact"/>
        <w:rPr>
          <w:sz w:val="20"/>
          <w:szCs w:val="20"/>
          <w:color w:val="auto"/>
        </w:rPr>
      </w:pPr>
    </w:p>
    <w:p>
      <w:pPr>
        <w:ind w:left="4" w:right="40" w:firstLine="436"/>
        <w:spacing w:after="0" w:line="272" w:lineRule="auto"/>
        <w:tabs>
          <w:tab w:leader="none" w:pos="669" w:val="left"/>
        </w:tabs>
        <w:numPr>
          <w:ilvl w:val="1"/>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Non-Exempt Employees. </w:t>
      </w:r>
      <w:r>
        <w:rPr>
          <w:rFonts w:ascii="Times New Roman" w:cs="Times New Roman" w:eastAsia="Times New Roman" w:hAnsi="Times New Roman"/>
          <w:sz w:val="17"/>
          <w:szCs w:val="17"/>
          <w:color w:val="auto"/>
        </w:rPr>
        <w:t>No Option or SAR, whether or not vested, granted to an Employee who is a non-exempt employee for purposes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U.S. Fair Labor Standards Act of 1938, as amended, will be first exercisable for any shares of Common Stock until at least six months following the date of grant of such Award. Notwithstanding the foregoing, in accordance with the provisions of the U.S. Worker Economic Opportunity Act, any vested portion of such Award may be exercised earlier than six months following the date of grant of such Award in the event of (i) 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4(j) is intended to operate so that any income derived by a non-exempt employee in connection with the exercise or vesting of an Option or SAR will be exempt from his or her regular rate of pay.</w:t>
      </w:r>
    </w:p>
    <w:p>
      <w:pPr>
        <w:spacing w:after="0" w:line="63" w:lineRule="exact"/>
        <w:rPr>
          <w:rFonts w:ascii="Times New Roman" w:cs="Times New Roman" w:eastAsia="Times New Roman" w:hAnsi="Times New Roman"/>
          <w:sz w:val="17"/>
          <w:szCs w:val="17"/>
          <w:b w:val="1"/>
          <w:bCs w:val="1"/>
          <w:color w:val="auto"/>
        </w:rPr>
      </w:pPr>
    </w:p>
    <w:p>
      <w:pPr>
        <w:ind w:left="704" w:hanging="264"/>
        <w:spacing w:after="0"/>
        <w:tabs>
          <w:tab w:leader="none" w:pos="704"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Whole Shares. </w:t>
      </w:r>
      <w:r>
        <w:rPr>
          <w:rFonts w:ascii="Times New Roman" w:cs="Times New Roman" w:eastAsia="Times New Roman" w:hAnsi="Times New Roman"/>
          <w:sz w:val="18"/>
          <w:szCs w:val="18"/>
          <w:color w:val="auto"/>
        </w:rPr>
        <w:t>Options and SARs may be exercised only with respect to whole shares of Common Stock or their equivalents.</w:t>
      </w:r>
    </w:p>
    <w:p>
      <w:pPr>
        <w:spacing w:after="0" w:line="333" w:lineRule="exact"/>
        <w:rPr>
          <w:rFonts w:ascii="Times New Roman" w:cs="Times New Roman" w:eastAsia="Times New Roman" w:hAnsi="Times New Roman"/>
          <w:sz w:val="18"/>
          <w:szCs w:val="18"/>
          <w:b w:val="1"/>
          <w:bCs w:val="1"/>
          <w:color w:val="auto"/>
        </w:rPr>
      </w:pPr>
    </w:p>
    <w:p>
      <w:pPr>
        <w:ind w:left="184" w:hanging="184"/>
        <w:spacing w:after="0"/>
        <w:tabs>
          <w:tab w:leader="none" w:pos="184"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WARDS</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HAN</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PTIONS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PPRECIATION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jc w:val="both"/>
        <w:ind w:left="4" w:right="720" w:firstLine="436"/>
        <w:spacing w:after="0" w:line="291" w:lineRule="auto"/>
        <w:tabs>
          <w:tab w:leader="none" w:pos="699" w:val="left"/>
        </w:tabs>
        <w:numPr>
          <w:ilvl w:val="1"/>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Restricted Stock Awards and RSU Awards. </w:t>
      </w:r>
      <w:r>
        <w:rPr>
          <w:rFonts w:ascii="Times New Roman" w:cs="Times New Roman" w:eastAsia="Times New Roman" w:hAnsi="Times New Roman"/>
          <w:sz w:val="17"/>
          <w:szCs w:val="17"/>
          <w:color w:val="auto"/>
        </w:rPr>
        <w:t>Each Restricted Stock Award and RSU Award will have such terms and conditions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determined by the Board; provided, however, that each Restricted Stock Award Agreement and RSU Award Agreement will conform (through incorporation of the provisions hereof by reference in the Award Agreement or otherwise) to the substance of each of the following provisions:</w:t>
      </w:r>
    </w:p>
    <w:p>
      <w:pPr>
        <w:spacing w:after="0" w:line="44" w:lineRule="exact"/>
        <w:rPr>
          <w:rFonts w:ascii="Times New Roman" w:cs="Times New Roman" w:eastAsia="Times New Roman" w:hAnsi="Times New Roman"/>
          <w:sz w:val="17"/>
          <w:szCs w:val="17"/>
          <w:b w:val="1"/>
          <w:bCs w:val="1"/>
          <w:color w:val="auto"/>
        </w:rPr>
      </w:pPr>
    </w:p>
    <w:p>
      <w:pPr>
        <w:ind w:left="1204" w:hanging="213"/>
        <w:spacing w:after="0"/>
        <w:tabs>
          <w:tab w:leader="none" w:pos="1204" w:val="left"/>
        </w:tabs>
        <w:numPr>
          <w:ilvl w:val="2"/>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Form of Award.</w:t>
      </w:r>
    </w:p>
    <w:p>
      <w:pPr>
        <w:spacing w:after="0" w:line="121" w:lineRule="exact"/>
        <w:rPr>
          <w:rFonts w:ascii="Times New Roman" w:cs="Times New Roman" w:eastAsia="Times New Roman" w:hAnsi="Times New Roman"/>
          <w:sz w:val="18"/>
          <w:szCs w:val="18"/>
          <w:b w:val="1"/>
          <w:bCs w:val="1"/>
          <w:color w:val="auto"/>
        </w:rPr>
      </w:pPr>
    </w:p>
    <w:p>
      <w:pPr>
        <w:ind w:left="4" w:right="40" w:firstLine="1428"/>
        <w:spacing w:after="0" w:line="258" w:lineRule="auto"/>
        <w:tabs>
          <w:tab w:leader="none" w:pos="1691" w:val="left"/>
        </w:tabs>
        <w:numPr>
          <w:ilvl w:val="3"/>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Restricted Stock Awards: To the extent consistent with the Company’s Bylaws, at the Board’s election, shares of Common Stock subject to a Restricted Stock Award may be (A) held in book entry form subject to the Company’s instructions until such shares become vested or any other restrictions lapse, or (B)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w:t>
      </w:r>
    </w:p>
    <w:p>
      <w:pPr>
        <w:spacing w:after="0" w:line="75" w:lineRule="exact"/>
        <w:rPr>
          <w:rFonts w:ascii="Times New Roman" w:cs="Times New Roman" w:eastAsia="Times New Roman" w:hAnsi="Times New Roman"/>
          <w:sz w:val="18"/>
          <w:szCs w:val="18"/>
          <w:b w:val="1"/>
          <w:bCs w:val="1"/>
          <w:color w:val="auto"/>
        </w:rPr>
      </w:pPr>
    </w:p>
    <w:p>
      <w:pPr>
        <w:ind w:left="4" w:firstLine="1428"/>
        <w:spacing w:after="0" w:line="261" w:lineRule="auto"/>
        <w:tabs>
          <w:tab w:leader="none" w:pos="1691" w:val="left"/>
        </w:tabs>
        <w:numPr>
          <w:ilvl w:val="3"/>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RSU Awards: An RSU Award represents a Participant’s right to be issued on a future date the number of shares of Common Stock that is equal to the number of restricted stock units subject to the RSU Award. As a holder of an RSU Award, a Participant is an unsecured creditor of the Company with respect to the Company’s unfunded obligation, if any, to issue shares of Common Stock in settlement of such Award and nothing contained in the Plan</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70" w:right="459" w:bottom="1440" w:gutter="0" w:footer="0" w:header="0"/>
        </w:sectPr>
      </w:pPr>
    </w:p>
    <w:bookmarkStart w:id="12" w:name="page13"/>
    <w:bookmarkEnd w:id="12"/>
    <w:p>
      <w:pPr>
        <w:ind w:right="36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any RSU Award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w:t>
      </w:r>
    </w:p>
    <w:p>
      <w:pPr>
        <w:spacing w:after="0" w:line="46" w:lineRule="exact"/>
        <w:rPr>
          <w:sz w:val="20"/>
          <w:szCs w:val="20"/>
          <w:color w:val="auto"/>
        </w:rPr>
      </w:pPr>
    </w:p>
    <w:p>
      <w:pPr>
        <w:ind w:left="1260" w:hanging="273"/>
        <w:spacing w:after="0"/>
        <w:tabs>
          <w:tab w:leader="none" w:pos="12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Consideration.</w:t>
      </w:r>
    </w:p>
    <w:p>
      <w:pPr>
        <w:spacing w:after="0" w:line="121" w:lineRule="exact"/>
        <w:rPr>
          <w:rFonts w:ascii="Times New Roman" w:cs="Times New Roman" w:eastAsia="Times New Roman" w:hAnsi="Times New Roman"/>
          <w:sz w:val="18"/>
          <w:szCs w:val="18"/>
          <w:b w:val="1"/>
          <w:bCs w:val="1"/>
          <w:color w:val="auto"/>
        </w:rPr>
      </w:pPr>
    </w:p>
    <w:p>
      <w:pPr>
        <w:ind w:right="40" w:firstLine="1428"/>
        <w:spacing w:after="0" w:line="266" w:lineRule="auto"/>
        <w:tabs>
          <w:tab w:leader="none" w:pos="1687"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Restricted Stock Awards: A Restricted Stock Award may be granted in consideration for (A) cash or check, bank draft or money order payable to the Company, (B) services to the Company or an Affiliate, or (C) any other form of consideration as the Board may determine and permissible under Applicable Law.</w:t>
      </w:r>
    </w:p>
    <w:p>
      <w:pPr>
        <w:spacing w:after="0" w:line="67" w:lineRule="exact"/>
        <w:rPr>
          <w:rFonts w:ascii="Times New Roman" w:cs="Times New Roman" w:eastAsia="Times New Roman" w:hAnsi="Times New Roman"/>
          <w:sz w:val="18"/>
          <w:szCs w:val="18"/>
          <w:b w:val="1"/>
          <w:bCs w:val="1"/>
          <w:color w:val="auto"/>
        </w:rPr>
      </w:pPr>
    </w:p>
    <w:p>
      <w:pPr>
        <w:ind w:firstLine="1428"/>
        <w:spacing w:after="0" w:line="256" w:lineRule="auto"/>
        <w:tabs>
          <w:tab w:leader="none" w:pos="1687"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RSU Awards: Unless otherwise determined by the Board at the time of grant, an RSU Award will be 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w:t>
      </w:r>
    </w:p>
    <w:p>
      <w:pPr>
        <w:spacing w:after="0" w:line="75" w:lineRule="exact"/>
        <w:rPr>
          <w:rFonts w:ascii="Times New Roman" w:cs="Times New Roman" w:eastAsia="Times New Roman" w:hAnsi="Times New Roman"/>
          <w:sz w:val="18"/>
          <w:szCs w:val="18"/>
          <w:b w:val="1"/>
          <w:bCs w:val="1"/>
          <w:color w:val="auto"/>
        </w:rPr>
      </w:pPr>
    </w:p>
    <w:p>
      <w:pPr>
        <w:ind w:right="80" w:firstLine="987"/>
        <w:spacing w:after="0" w:line="268" w:lineRule="auto"/>
        <w:tabs>
          <w:tab w:leader="none" w:pos="1306"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The Board may impose such restrictions on or conditions to the vesting of a Restricted Stock Award or RSU Award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the Board. Except as otherwise provided in the Award Agreement or other written agreement between a Participant and the Company or an Affiliate, vesting of Restricted Stock Awards and RSU Awards will cease upon termination of the Participant’s Continuous Service.</w:t>
      </w:r>
    </w:p>
    <w:p>
      <w:pPr>
        <w:spacing w:after="0" w:line="62" w:lineRule="exact"/>
        <w:rPr>
          <w:rFonts w:ascii="Times New Roman" w:cs="Times New Roman" w:eastAsia="Times New Roman" w:hAnsi="Times New Roman"/>
          <w:sz w:val="18"/>
          <w:szCs w:val="18"/>
          <w:b w:val="1"/>
          <w:bCs w:val="1"/>
          <w:color w:val="auto"/>
        </w:rPr>
      </w:pPr>
    </w:p>
    <w:p>
      <w:pPr>
        <w:ind w:right="20" w:firstLine="987"/>
        <w:spacing w:after="0" w:line="255" w:lineRule="auto"/>
        <w:tabs>
          <w:tab w:leader="none" w:pos="1296"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Continuous Service. </w:t>
      </w:r>
      <w:r>
        <w:rPr>
          <w:rFonts w:ascii="Times New Roman" w:cs="Times New Roman" w:eastAsia="Times New Roman" w:hAnsi="Times New Roman"/>
          <w:sz w:val="18"/>
          <w:szCs w:val="18"/>
          <w:color w:val="auto"/>
        </w:rPr>
        <w:t>Except as otherwise provided in the Award Agreement or other written agreement between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and the Company or an Affiliate, if a Participant’s Continuous Service terminates for any reason, (1) the Company may receive through a forfeiture condition or a repurchase right any or all of the shares of Common Stock held by the Participant under his or her Restricted Stock Award that have not vested as of the date of such termination as set forth in the Restricted Stock Award Agreement and the Participant will have no further right, title or interest in the Restricted Stock Award, the shares of Common Stock subject to the Restricted Stock Award, or any consideration in respect of the Restricted Stock Award and (2) any portion of his or her RSU Award that has not vested will be forfeited upon such termination and the Participant will have no further right, title or interest in the RSU Award, the shares of Common Stock issuable pursuant to the RSU Award, or any consideration in respect of the RSU Award.</w:t>
      </w:r>
    </w:p>
    <w:p>
      <w:pPr>
        <w:spacing w:after="0" w:line="76" w:lineRule="exact"/>
        <w:rPr>
          <w:rFonts w:ascii="Times New Roman" w:cs="Times New Roman" w:eastAsia="Times New Roman" w:hAnsi="Times New Roman"/>
          <w:sz w:val="18"/>
          <w:szCs w:val="18"/>
          <w:b w:val="1"/>
          <w:bCs w:val="1"/>
          <w:color w:val="auto"/>
        </w:rPr>
      </w:pPr>
    </w:p>
    <w:p>
      <w:pPr>
        <w:ind w:right="100" w:firstLine="987"/>
        <w:spacing w:after="0" w:line="286" w:lineRule="auto"/>
        <w:tabs>
          <w:tab w:leader="none" w:pos="1246"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and Dividend Equivalents. </w:t>
      </w:r>
      <w:r>
        <w:rPr>
          <w:rFonts w:ascii="Times New Roman" w:cs="Times New Roman" w:eastAsia="Times New Roman" w:hAnsi="Times New Roman"/>
          <w:sz w:val="18"/>
          <w:szCs w:val="18"/>
          <w:color w:val="auto"/>
        </w:rPr>
        <w:t>Dividends or dividend equivalents may be paid or credited, as applicable, with respect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subject to a Restricted Stock Award or RSU Award, as determined by the Board and specified in the Award Agreement.</w:t>
      </w:r>
    </w:p>
    <w:p>
      <w:pPr>
        <w:spacing w:after="0" w:line="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40"/>
          </w:cols>
          <w:pgMar w:left="440" w:top="270" w:right="519" w:bottom="1440" w:gutter="0" w:footer="0" w:header="0"/>
        </w:sectPr>
      </w:pPr>
    </w:p>
    <w:bookmarkStart w:id="13" w:name="page14"/>
    <w:bookmarkEnd w:id="13"/>
    <w:p>
      <w:pPr>
        <w:jc w:val="both"/>
        <w:ind w:left="4" w:right="60" w:firstLine="987"/>
        <w:spacing w:after="0" w:line="268" w:lineRule="auto"/>
        <w:tabs>
          <w:tab w:leader="none" w:pos="1300" w:val="left"/>
        </w:tabs>
        <w:numPr>
          <w:ilvl w:val="2"/>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Settlement of RSU Awards. </w:t>
      </w:r>
      <w:r>
        <w:rPr>
          <w:rFonts w:ascii="Times New Roman" w:cs="Times New Roman" w:eastAsia="Times New Roman" w:hAnsi="Times New Roman"/>
          <w:sz w:val="18"/>
          <w:szCs w:val="18"/>
          <w:color w:val="auto"/>
        </w:rPr>
        <w:t>An RSU Award may be settled by the issuance of shares of Common Stock or cash (or any combination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 or in any other form of payment, as determined by the Board and specified in the RSU Award Agreement. At the time of grant, the Board may determine to impose such restrictions or conditions that delay such delivery to a date following the vesting of the RSU Award.</w:t>
      </w:r>
    </w:p>
    <w:p>
      <w:pPr>
        <w:spacing w:after="0" w:line="62" w:lineRule="exact"/>
        <w:rPr>
          <w:rFonts w:ascii="Times New Roman" w:cs="Times New Roman" w:eastAsia="Times New Roman" w:hAnsi="Times New Roman"/>
          <w:sz w:val="18"/>
          <w:szCs w:val="18"/>
          <w:b w:val="1"/>
          <w:bCs w:val="1"/>
          <w:color w:val="auto"/>
        </w:rPr>
      </w:pPr>
    </w:p>
    <w:p>
      <w:pPr>
        <w:jc w:val="both"/>
        <w:ind w:left="4" w:right="80" w:firstLine="436"/>
        <w:spacing w:after="0" w:line="268" w:lineRule="auto"/>
        <w:tabs>
          <w:tab w:leader="none" w:pos="709"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Performance Awards. </w:t>
      </w:r>
      <w:r>
        <w:rPr>
          <w:rFonts w:ascii="Times New Roman" w:cs="Times New Roman" w:eastAsia="Times New Roman" w:hAnsi="Times New Roman"/>
          <w:sz w:val="18"/>
          <w:szCs w:val="18"/>
          <w:color w:val="auto"/>
        </w:rPr>
        <w:t>With respect to any Performance Award, the length of any Performance Period, the Performance Goals to be achieved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Performance Period, the other terms and conditions of such Award, and the measure of whether and to what degree such Performance Goals have been attained will be determined by the Board.</w:t>
      </w:r>
    </w:p>
    <w:p>
      <w:pPr>
        <w:spacing w:after="0" w:line="62" w:lineRule="exact"/>
        <w:rPr>
          <w:rFonts w:ascii="Times New Roman" w:cs="Times New Roman" w:eastAsia="Times New Roman" w:hAnsi="Times New Roman"/>
          <w:sz w:val="18"/>
          <w:szCs w:val="18"/>
          <w:b w:val="1"/>
          <w:bCs w:val="1"/>
          <w:color w:val="auto"/>
        </w:rPr>
      </w:pPr>
    </w:p>
    <w:p>
      <w:pPr>
        <w:ind w:left="4" w:right="300" w:firstLine="436"/>
        <w:spacing w:after="0" w:line="259" w:lineRule="auto"/>
        <w:tabs>
          <w:tab w:leader="none" w:pos="689"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Other Awards. </w:t>
      </w:r>
      <w:r>
        <w:rPr>
          <w:rFonts w:ascii="Times New Roman" w:cs="Times New Roman" w:eastAsia="Times New Roman" w:hAnsi="Times New Roman"/>
          <w:sz w:val="18"/>
          <w:szCs w:val="18"/>
          <w:color w:val="auto"/>
        </w:rPr>
        <w:t>Other forms of Awards valued in whole or in part by reference to, or otherwise based on, Common Stock,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appreciation in value thereof may be granted either alone or in addition to Awards provided for under Section 4 and the preceding provisions of this Section 5. Subject to the provisions of the Plan,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w:t>
      </w:r>
    </w:p>
    <w:p>
      <w:pPr>
        <w:spacing w:after="0" w:line="287" w:lineRule="exact"/>
        <w:rPr>
          <w:rFonts w:ascii="Times New Roman" w:cs="Times New Roman" w:eastAsia="Times New Roman" w:hAnsi="Times New Roman"/>
          <w:sz w:val="18"/>
          <w:szCs w:val="18"/>
          <w:b w:val="1"/>
          <w:bCs w:val="1"/>
          <w:color w:val="auto"/>
        </w:rPr>
      </w:pPr>
    </w:p>
    <w:p>
      <w:pPr>
        <w:ind w:left="184" w:hanging="184"/>
        <w:spacing w:after="0"/>
        <w:tabs>
          <w:tab w:leader="none" w:pos="184"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DJUSTMENTS UPON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HANGES IN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ORPORATE</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VENTS</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4" w:right="240" w:firstLine="436"/>
        <w:spacing w:after="0" w:line="255" w:lineRule="auto"/>
        <w:tabs>
          <w:tab w:leader="none" w:pos="699"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Capitalization Adjustments. </w:t>
      </w:r>
      <w:r>
        <w:rPr>
          <w:rFonts w:ascii="Times New Roman" w:cs="Times New Roman" w:eastAsia="Times New Roman" w:hAnsi="Times New Roman"/>
          <w:sz w:val="18"/>
          <w:szCs w:val="18"/>
          <w:color w:val="auto"/>
        </w:rPr>
        <w:t>In the event of a Capitalization Adjustment, the Board shall appropriately and proportionately adjust: (i)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class(es) and maximum number of shares of Common Stock subject to the Plan and the maximum number of shares by which the Share Reserve may annually increase pursuant to Section 2(a); (ii) the class(es) and maximum number of shares that may be issued pursuant to the exercise of Incentive Stock Options pursuant to Section 2(b); and (iii) the class(es) and number of securities and exercise price, strike price or purchase price of Common Stock subject to outstanding Awards. The Board shall make such adjustments, and its determination shall be final, binding and conclusive. Notwithstanding the foregoing, no fractional shares or rights 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w:t>
      </w:r>
    </w:p>
    <w:p>
      <w:pPr>
        <w:spacing w:after="0" w:line="184" w:lineRule="exact"/>
        <w:rPr>
          <w:rFonts w:ascii="Times New Roman" w:cs="Times New Roman" w:eastAsia="Times New Roman" w:hAnsi="Times New Roman"/>
          <w:sz w:val="18"/>
          <w:szCs w:val="18"/>
          <w:b w:val="1"/>
          <w:bCs w:val="1"/>
          <w:color w:val="auto"/>
        </w:rPr>
      </w:pPr>
    </w:p>
    <w:p>
      <w:pPr>
        <w:ind w:left="4" w:firstLine="436"/>
        <w:spacing w:after="0" w:line="256" w:lineRule="auto"/>
        <w:tabs>
          <w:tab w:leader="none" w:pos="709"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Dissolution or Liquidation. </w:t>
      </w:r>
      <w:r>
        <w:rPr>
          <w:rFonts w:ascii="Times New Roman" w:cs="Times New Roman" w:eastAsia="Times New Roman" w:hAnsi="Times New Roman"/>
          <w:sz w:val="18"/>
          <w:szCs w:val="18"/>
          <w:color w:val="auto"/>
        </w:rPr>
        <w:t>Except as otherwise provided in the Award Agreement, in the event of a dissolution or liquidation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4"/>
          </w:cols>
          <w:pgMar w:left="436" w:top="266" w:right="479" w:bottom="1440" w:gutter="0" w:footer="0" w:header="0"/>
        </w:sectPr>
      </w:pPr>
    </w:p>
    <w:bookmarkStart w:id="14" w:name="page15"/>
    <w:bookmarkEnd w:id="14"/>
    <w:p>
      <w:pPr>
        <w:ind w:left="680" w:hanging="244"/>
        <w:spacing w:after="0"/>
        <w:tabs>
          <w:tab w:leader="none" w:pos="6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Corporate Transaction. </w:t>
      </w:r>
      <w:r>
        <w:rPr>
          <w:rFonts w:ascii="Times New Roman" w:cs="Times New Roman" w:eastAsia="Times New Roman" w:hAnsi="Times New Roman"/>
          <w:sz w:val="18"/>
          <w:szCs w:val="18"/>
          <w:color w:val="auto"/>
        </w:rPr>
        <w:t>The following provisions will apply to Awards in the event of a Corporate Transaction, except as set forth in</w:t>
      </w:r>
    </w:p>
    <w:p>
      <w:pPr>
        <w:spacing w:after="0" w:line="3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Section 11, unless otherwise provided in the instrument evidencing the Award or any other written agreement between the Company or any Affiliate and the Participant or unless otherwise expressly provided by the Board at the time of grant of an Award.</w:t>
      </w:r>
    </w:p>
    <w:p>
      <w:pPr>
        <w:spacing w:after="0" w:line="69" w:lineRule="exact"/>
        <w:rPr>
          <w:sz w:val="20"/>
          <w:szCs w:val="20"/>
          <w:color w:val="auto"/>
        </w:rPr>
      </w:pPr>
    </w:p>
    <w:p>
      <w:pPr>
        <w:ind w:firstLine="987"/>
        <w:spacing w:after="0" w:line="255" w:lineRule="auto"/>
        <w:tabs>
          <w:tab w:leader="none" w:pos="1206"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Awards May Be Assumed. </w:t>
      </w:r>
      <w:r>
        <w:rPr>
          <w:rFonts w:ascii="Times New Roman" w:cs="Times New Roman" w:eastAsia="Times New Roman" w:hAnsi="Times New Roman"/>
          <w:sz w:val="18"/>
          <w:szCs w:val="18"/>
          <w:color w:val="auto"/>
        </w:rPr>
        <w:t>In the event of a Corporate Transaction, any surviving corporation or acquiring corporation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continue or substitute the Awards held by some, but not all Participants. The terms of any assumption, continuation or substitution will be set by the Board.</w:t>
      </w:r>
    </w:p>
    <w:p>
      <w:pPr>
        <w:spacing w:after="0" w:line="76" w:lineRule="exact"/>
        <w:rPr>
          <w:rFonts w:ascii="Times New Roman" w:cs="Times New Roman" w:eastAsia="Times New Roman" w:hAnsi="Times New Roman"/>
          <w:sz w:val="18"/>
          <w:szCs w:val="18"/>
          <w:b w:val="1"/>
          <w:bCs w:val="1"/>
          <w:color w:val="auto"/>
        </w:rPr>
      </w:pPr>
    </w:p>
    <w:p>
      <w:pPr>
        <w:ind w:firstLine="987"/>
        <w:spacing w:after="0" w:line="253" w:lineRule="auto"/>
        <w:tabs>
          <w:tab w:leader="none" w:pos="1256"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Awards Held by Current Participants. </w:t>
      </w:r>
      <w:r>
        <w:rPr>
          <w:rFonts w:ascii="Times New Roman" w:cs="Times New Roman" w:eastAsia="Times New Roman" w:hAnsi="Times New Roman"/>
          <w:sz w:val="18"/>
          <w:szCs w:val="18"/>
          <w:color w:val="auto"/>
        </w:rPr>
        <w:t>In the event of a Corporate Transaction in which the surviving corporation or acquiring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Times New Roman" w:cs="Times New Roman" w:eastAsia="Times New Roman" w:hAnsi="Times New Roman"/>
          <w:sz w:val="18"/>
          <w:szCs w:val="18"/>
          <w:b w:val="1"/>
          <w:bCs w:val="1"/>
          <w:i w:val="1"/>
          <w:iCs w:val="1"/>
          <w:color w:val="auto"/>
        </w:rPr>
        <w:t>Current Participants</w:t>
      </w:r>
      <w:r>
        <w:rPr>
          <w:rFonts w:ascii="Times New Roman" w:cs="Times New Roman" w:eastAsia="Times New Roman" w:hAnsi="Times New Roman"/>
          <w:sz w:val="18"/>
          <w:szCs w:val="18"/>
          <w:color w:val="auto"/>
        </w:rPr>
        <w:t>”),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as the Board determines (or, if the Board does not determine such a date, to the date that is five days prior to the effective time of the Corporate Transaction), and such Awards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Performance Awards that will accelerate upon the occurrence of a Corporate Transaction pursuant to this subsection (ii) and that have multiple vesting levels depending on the level of performance, unless otherwise provided in the Award Agreement, the vesting of such Performance Awards will accelerate at 100% of the target level upon the occurrence of the Corporate Transaction in which the Awards are not assumed, continued or substituted in accordance with Section 6(c)(i). With respect to the vesting of Awards that will accelerate upon the occurrence of a Corporate Transaction pursuant to this subsection (ii) and are settled in the form of a cash payment, such cash payment will be made no later than 30 days following the occurrence of the Corporate Transaction or such later date as required to comply with Section 409A of the Code.</w:t>
      </w:r>
    </w:p>
    <w:p>
      <w:pPr>
        <w:spacing w:after="0" w:line="75" w:lineRule="exact"/>
        <w:rPr>
          <w:rFonts w:ascii="Times New Roman" w:cs="Times New Roman" w:eastAsia="Times New Roman" w:hAnsi="Times New Roman"/>
          <w:sz w:val="18"/>
          <w:szCs w:val="18"/>
          <w:b w:val="1"/>
          <w:bCs w:val="1"/>
          <w:color w:val="auto"/>
        </w:rPr>
      </w:pPr>
    </w:p>
    <w:p>
      <w:pPr>
        <w:ind w:right="60" w:firstLine="987"/>
        <w:spacing w:after="0" w:line="268" w:lineRule="auto"/>
        <w:tabs>
          <w:tab w:leader="none" w:pos="1306"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Awards Held by Persons other than Current Participants. </w:t>
      </w:r>
      <w:r>
        <w:rPr>
          <w:rFonts w:ascii="Times New Roman" w:cs="Times New Roman" w:eastAsia="Times New Roman" w:hAnsi="Times New Roman"/>
          <w:sz w:val="18"/>
          <w:szCs w:val="18"/>
          <w:color w:val="auto"/>
        </w:rPr>
        <w:t>In the event of a Corporate Transaction in which the surviving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or acquiring corporation (or its parent company) does not assume or continue such outstanding Awards or substitute similar awards for such outstanding Awards, then with respect to Awards that have not been assumed,</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66" w:right="459" w:bottom="1440" w:gutter="0" w:footer="0" w:header="0"/>
        </w:sectPr>
      </w:pPr>
    </w:p>
    <w:bookmarkStart w:id="15" w:name="page16"/>
    <w:bookmarkEnd w:id="15"/>
    <w:p>
      <w:pPr>
        <w:ind w:left="4"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continued or substituted and that are held by persons other than Current Participants, such Awards will terminate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w:t>
      </w:r>
    </w:p>
    <w:p>
      <w:pPr>
        <w:spacing w:after="0" w:line="64" w:lineRule="exact"/>
        <w:rPr>
          <w:sz w:val="20"/>
          <w:szCs w:val="20"/>
          <w:color w:val="auto"/>
        </w:rPr>
      </w:pPr>
    </w:p>
    <w:p>
      <w:pPr>
        <w:ind w:left="4" w:firstLine="987"/>
        <w:spacing w:after="0" w:line="259" w:lineRule="auto"/>
        <w:tabs>
          <w:tab w:leader="none" w:pos="1300" w:val="left"/>
        </w:tabs>
        <w:numPr>
          <w:ilvl w:val="2"/>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Payment for Awards in Lieu of Exercise. </w:t>
      </w:r>
      <w:r>
        <w:rPr>
          <w:rFonts w:ascii="Times New Roman" w:cs="Times New Roman" w:eastAsia="Times New Roman" w:hAnsi="Times New Roman"/>
          <w:sz w:val="18"/>
          <w:szCs w:val="18"/>
          <w:color w:val="auto"/>
        </w:rPr>
        <w:t>Notwithstanding the foregoing, in the event an Award will terminate if not exercised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effective time of a Corporate Transaction,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w:t>
      </w:r>
    </w:p>
    <w:p>
      <w:pPr>
        <w:spacing w:after="0" w:line="71" w:lineRule="exact"/>
        <w:rPr>
          <w:rFonts w:ascii="Times New Roman" w:cs="Times New Roman" w:eastAsia="Times New Roman" w:hAnsi="Times New Roman"/>
          <w:sz w:val="18"/>
          <w:szCs w:val="18"/>
          <w:b w:val="1"/>
          <w:bCs w:val="1"/>
          <w:color w:val="auto"/>
        </w:rPr>
      </w:pPr>
    </w:p>
    <w:p>
      <w:pPr>
        <w:ind w:left="4" w:right="20" w:firstLine="436"/>
        <w:spacing w:after="0" w:line="262" w:lineRule="auto"/>
        <w:tabs>
          <w:tab w:leader="none" w:pos="709" w:val="left"/>
        </w:tabs>
        <w:numPr>
          <w:ilvl w:val="1"/>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Appointment of Stockholder Representative. </w:t>
      </w:r>
      <w:r>
        <w:rPr>
          <w:rFonts w:ascii="Times New Roman" w:cs="Times New Roman" w:eastAsia="Times New Roman" w:hAnsi="Times New Roman"/>
          <w:sz w:val="18"/>
          <w:szCs w:val="18"/>
          <w:color w:val="auto"/>
        </w:rPr>
        <w:t>As a condition to the receipt of an Award under this Plan, a Participant will be deemed to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w:t>
      </w:r>
    </w:p>
    <w:p>
      <w:pPr>
        <w:spacing w:after="0" w:line="68" w:lineRule="exact"/>
        <w:rPr>
          <w:rFonts w:ascii="Times New Roman" w:cs="Times New Roman" w:eastAsia="Times New Roman" w:hAnsi="Times New Roman"/>
          <w:sz w:val="18"/>
          <w:szCs w:val="18"/>
          <w:b w:val="1"/>
          <w:bCs w:val="1"/>
          <w:color w:val="auto"/>
        </w:rPr>
      </w:pPr>
    </w:p>
    <w:p>
      <w:pPr>
        <w:ind w:left="4" w:right="60" w:firstLine="436"/>
        <w:spacing w:after="0" w:line="256" w:lineRule="auto"/>
        <w:tabs>
          <w:tab w:leader="none" w:pos="689" w:val="left"/>
        </w:tabs>
        <w:numPr>
          <w:ilvl w:val="1"/>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Restriction on Right to Undertake Transactions. </w:t>
      </w:r>
      <w:r>
        <w:rPr>
          <w:rFonts w:ascii="Times New Roman" w:cs="Times New Roman" w:eastAsia="Times New Roman" w:hAnsi="Times New Roman"/>
          <w:sz w:val="18"/>
          <w:szCs w:val="18"/>
          <w:color w:val="auto"/>
        </w:rPr>
        <w:t>The grant of any Award under the Plan and the issuance of shares pursuant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does not affect or restrict in any way the right or power of the Company, the Board or the stockholders of the Company to make or authorize any adjustment, recapitalization, reorganization or other change in the Company’s capital structure or its business, any Change in Control, any Corporate Transaction,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290" w:lineRule="exact"/>
        <w:rPr>
          <w:rFonts w:ascii="Times New Roman" w:cs="Times New Roman" w:eastAsia="Times New Roman" w:hAnsi="Times New Roman"/>
          <w:sz w:val="18"/>
          <w:szCs w:val="18"/>
          <w:b w:val="1"/>
          <w:bCs w:val="1"/>
          <w:color w:val="auto"/>
        </w:rPr>
      </w:pPr>
    </w:p>
    <w:p>
      <w:pPr>
        <w:ind w:left="184" w:hanging="184"/>
        <w:spacing w:after="0"/>
        <w:tabs>
          <w:tab w:leader="none" w:pos="184"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DMINISTRATION</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4" w:right="40" w:firstLine="436"/>
        <w:spacing w:after="0" w:line="286" w:lineRule="auto"/>
        <w:tabs>
          <w:tab w:leader="none" w:pos="699"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Administration by Board. </w:t>
      </w:r>
      <w:r>
        <w:rPr>
          <w:rFonts w:ascii="Times New Roman" w:cs="Times New Roman" w:eastAsia="Times New Roman" w:hAnsi="Times New Roman"/>
          <w:sz w:val="18"/>
          <w:szCs w:val="18"/>
          <w:color w:val="auto"/>
        </w:rPr>
        <w:t>The Board will administer the Plan unless and until the Board delegates administration of the Plan to a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Committees, as provided in subsection (c) below.</w:t>
      </w:r>
    </w:p>
    <w:p>
      <w:pPr>
        <w:spacing w:after="0" w:line="9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4"/>
          </w:cols>
          <w:pgMar w:left="436" w:top="270" w:right="479" w:bottom="1440" w:gutter="0" w:footer="0" w:header="0"/>
        </w:sectPr>
      </w:pPr>
    </w:p>
    <w:bookmarkStart w:id="16" w:name="page17"/>
    <w:bookmarkEnd w:id="16"/>
    <w:p>
      <w:pPr>
        <w:ind w:left="704" w:hanging="264"/>
        <w:spacing w:after="0"/>
        <w:tabs>
          <w:tab w:leader="none" w:pos="704" w:val="left"/>
        </w:tabs>
        <w:numPr>
          <w:ilvl w:val="1"/>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Powers of Board. </w:t>
      </w:r>
      <w:r>
        <w:rPr>
          <w:rFonts w:ascii="Times New Roman" w:cs="Times New Roman" w:eastAsia="Times New Roman" w:hAnsi="Times New Roman"/>
          <w:sz w:val="18"/>
          <w:szCs w:val="18"/>
          <w:color w:val="auto"/>
        </w:rPr>
        <w:t>The Board will have the power, subject to, and within the limitations of, the express provisions of the Plan:</w:t>
      </w:r>
    </w:p>
    <w:p>
      <w:pPr>
        <w:spacing w:after="0" w:line="121" w:lineRule="exact"/>
        <w:rPr>
          <w:rFonts w:ascii="Times New Roman" w:cs="Times New Roman" w:eastAsia="Times New Roman" w:hAnsi="Times New Roman"/>
          <w:sz w:val="18"/>
          <w:szCs w:val="18"/>
          <w:b w:val="1"/>
          <w:bCs w:val="1"/>
          <w:color w:val="auto"/>
        </w:rPr>
      </w:pPr>
    </w:p>
    <w:p>
      <w:pPr>
        <w:ind w:left="4" w:firstLine="987"/>
        <w:spacing w:after="0" w:line="256" w:lineRule="auto"/>
        <w:tabs>
          <w:tab w:leader="none" w:pos="1210" w:val="left"/>
        </w:tabs>
        <w:numPr>
          <w:ilvl w:val="2"/>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 (5) the number of shares of Common Stock or cash equivalent with respect to which an Award will be granted to each such person; (6) the Fair Market Value applicable to an Award; and (7) the terms of any Performance Award that is not valued in whole or in part by reference to, or otherwise based on, the Common Stock, including the amount of cash payment or other property that may be earned and the timing of payment.</w:t>
      </w:r>
    </w:p>
    <w:p>
      <w:pPr>
        <w:spacing w:after="0" w:line="79" w:lineRule="exact"/>
        <w:rPr>
          <w:rFonts w:ascii="Times New Roman" w:cs="Times New Roman" w:eastAsia="Times New Roman" w:hAnsi="Times New Roman"/>
          <w:sz w:val="18"/>
          <w:szCs w:val="18"/>
          <w:b w:val="1"/>
          <w:bCs w:val="1"/>
          <w:color w:val="auto"/>
        </w:rPr>
      </w:pPr>
    </w:p>
    <w:p>
      <w:pPr>
        <w:ind w:left="4" w:right="40" w:firstLine="987"/>
        <w:spacing w:after="0" w:line="266" w:lineRule="auto"/>
        <w:tabs>
          <w:tab w:leader="none" w:pos="1260" w:val="left"/>
        </w:tabs>
        <w:numPr>
          <w:ilvl w:val="2"/>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w:t>
      </w:r>
    </w:p>
    <w:p>
      <w:pPr>
        <w:spacing w:after="0" w:line="67" w:lineRule="exact"/>
        <w:rPr>
          <w:rFonts w:ascii="Times New Roman" w:cs="Times New Roman" w:eastAsia="Times New Roman" w:hAnsi="Times New Roman"/>
          <w:sz w:val="18"/>
          <w:szCs w:val="18"/>
          <w:b w:val="1"/>
          <w:bCs w:val="1"/>
          <w:color w:val="auto"/>
        </w:rPr>
      </w:pPr>
    </w:p>
    <w:p>
      <w:pPr>
        <w:ind w:left="1304" w:hanging="313"/>
        <w:spacing w:after="0"/>
        <w:tabs>
          <w:tab w:leader="none" w:pos="1304" w:val="left"/>
        </w:tabs>
        <w:numPr>
          <w:ilvl w:val="2"/>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settle all controversies regarding the Plan and Awards granted under it.</w:t>
      </w:r>
    </w:p>
    <w:p>
      <w:pPr>
        <w:spacing w:after="0" w:line="117" w:lineRule="exact"/>
        <w:rPr>
          <w:rFonts w:ascii="Times New Roman" w:cs="Times New Roman" w:eastAsia="Times New Roman" w:hAnsi="Times New Roman"/>
          <w:sz w:val="18"/>
          <w:szCs w:val="18"/>
          <w:b w:val="1"/>
          <w:bCs w:val="1"/>
          <w:color w:val="auto"/>
        </w:rPr>
      </w:pPr>
    </w:p>
    <w:p>
      <w:pPr>
        <w:ind w:left="4" w:right="420" w:firstLine="987"/>
        <w:spacing w:after="0" w:line="312" w:lineRule="auto"/>
        <w:tabs>
          <w:tab w:leader="none" w:pos="1300" w:val="left"/>
        </w:tabs>
        <w:numPr>
          <w:ilvl w:val="2"/>
          <w:numId w:val="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accelerate the time at which an Award may first be exercised or the time during which an Award or any part thereof will vest, notwithstanding the provisions in the Award Agreement stating the time at which it may first be exercised or the time during which it will vest.</w:t>
      </w:r>
    </w:p>
    <w:p>
      <w:pPr>
        <w:spacing w:after="0" w:line="31" w:lineRule="exact"/>
        <w:rPr>
          <w:rFonts w:ascii="Times New Roman" w:cs="Times New Roman" w:eastAsia="Times New Roman" w:hAnsi="Times New Roman"/>
          <w:sz w:val="17"/>
          <w:szCs w:val="17"/>
          <w:b w:val="1"/>
          <w:bCs w:val="1"/>
          <w:color w:val="auto"/>
        </w:rPr>
      </w:pPr>
    </w:p>
    <w:p>
      <w:pPr>
        <w:ind w:left="4" w:right="60" w:firstLine="987"/>
        <w:spacing w:after="0" w:line="261" w:lineRule="auto"/>
        <w:tabs>
          <w:tab w:leader="none" w:pos="1250" w:val="left"/>
        </w:tabs>
        <w:numPr>
          <w:ilvl w:val="2"/>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w:t>
      </w:r>
    </w:p>
    <w:p>
      <w:pPr>
        <w:spacing w:after="0" w:line="71" w:lineRule="exact"/>
        <w:rPr>
          <w:rFonts w:ascii="Times New Roman" w:cs="Times New Roman" w:eastAsia="Times New Roman" w:hAnsi="Times New Roman"/>
          <w:sz w:val="18"/>
          <w:szCs w:val="18"/>
          <w:b w:val="1"/>
          <w:bCs w:val="1"/>
          <w:color w:val="auto"/>
        </w:rPr>
      </w:pPr>
    </w:p>
    <w:p>
      <w:pPr>
        <w:ind w:left="4" w:right="140" w:firstLine="987"/>
        <w:spacing w:after="0" w:line="282" w:lineRule="auto"/>
        <w:tabs>
          <w:tab w:leader="none" w:pos="1300" w:val="left"/>
        </w:tabs>
        <w:numPr>
          <w:ilvl w:val="2"/>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suspend or terminate the Plan at any time. Suspension or termination of the Plan will not Materially Impair rights and obligations under any Award granted while the Plan is in effect except with the written consent of the affected Participant.</w:t>
      </w:r>
    </w:p>
    <w:p>
      <w:pPr>
        <w:spacing w:after="0" w:line="51" w:lineRule="exact"/>
        <w:rPr>
          <w:rFonts w:ascii="Times New Roman" w:cs="Times New Roman" w:eastAsia="Times New Roman" w:hAnsi="Times New Roman"/>
          <w:sz w:val="18"/>
          <w:szCs w:val="18"/>
          <w:b w:val="1"/>
          <w:bCs w:val="1"/>
          <w:color w:val="auto"/>
        </w:rPr>
      </w:pPr>
    </w:p>
    <w:p>
      <w:pPr>
        <w:ind w:left="4" w:right="40" w:firstLine="987"/>
        <w:spacing w:after="0" w:line="258" w:lineRule="auto"/>
        <w:tabs>
          <w:tab w:leader="none" w:pos="1350" w:val="left"/>
        </w:tabs>
        <w:numPr>
          <w:ilvl w:val="2"/>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amend the Plan in any respect the Board deems necessary or advisable; provided, 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w:t>
      </w:r>
    </w:p>
    <w:p>
      <w:pPr>
        <w:ind w:left="264" w:hanging="264"/>
        <w:spacing w:after="0"/>
        <w:tabs>
          <w:tab w:leader="none" w:pos="26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Participant consents in writing.</w:t>
      </w:r>
    </w:p>
    <w:p>
      <w:pPr>
        <w:spacing w:after="0" w:line="98" w:lineRule="exact"/>
        <w:rPr>
          <w:rFonts w:ascii="Times New Roman" w:cs="Times New Roman" w:eastAsia="Times New Roman" w:hAnsi="Times New Roman"/>
          <w:sz w:val="18"/>
          <w:szCs w:val="18"/>
          <w:color w:val="auto"/>
        </w:rPr>
      </w:pPr>
    </w:p>
    <w:p>
      <w:pPr>
        <w:ind w:left="1404" w:hanging="413"/>
        <w:spacing w:after="0"/>
        <w:tabs>
          <w:tab w:leader="none" w:pos="1404" w:val="left"/>
        </w:tabs>
        <w:numPr>
          <w:ilvl w:val="2"/>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submit any amendment to the Plan for stockholder approval.</w:t>
      </w:r>
    </w:p>
    <w:p>
      <w:pPr>
        <w:spacing w:after="0" w:line="117" w:lineRule="exact"/>
        <w:rPr>
          <w:rFonts w:ascii="Times New Roman" w:cs="Times New Roman" w:eastAsia="Times New Roman" w:hAnsi="Times New Roman"/>
          <w:sz w:val="18"/>
          <w:szCs w:val="18"/>
          <w:b w:val="1"/>
          <w:bCs w:val="1"/>
          <w:color w:val="auto"/>
        </w:rPr>
      </w:pPr>
    </w:p>
    <w:p>
      <w:pPr>
        <w:ind w:left="4" w:right="20" w:firstLine="987"/>
        <w:spacing w:after="0" w:line="281" w:lineRule="auto"/>
        <w:tabs>
          <w:tab w:leader="none" w:pos="1300" w:val="left"/>
        </w:tabs>
        <w:numPr>
          <w:ilvl w:val="2"/>
          <w:numId w:val="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a Participant’s rights under any Award will not be Materially Impaired by any such amendment unless (1) the Company requests the consent of the affected Participant, and (2) such Participant consents in writing.</w:t>
      </w:r>
    </w:p>
    <w:p>
      <w:pPr>
        <w:spacing w:after="0" w:line="97"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64"/>
          </w:cols>
          <w:pgMar w:left="436" w:top="266" w:right="499" w:bottom="1440" w:gutter="0" w:footer="0" w:header="0"/>
        </w:sectPr>
      </w:pPr>
    </w:p>
    <w:bookmarkStart w:id="17" w:name="page18"/>
    <w:bookmarkEnd w:id="17"/>
    <w:p>
      <w:pPr>
        <w:ind w:left="-40" w:firstLine="987"/>
        <w:spacing w:after="0" w:line="282" w:lineRule="auto"/>
        <w:tabs>
          <w:tab w:leader="none" w:pos="1206" w:val="left"/>
        </w:tabs>
        <w:numPr>
          <w:ilvl w:val="1"/>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Generally, to exercise such powers and to perform such acts as the Board deems necessary or expedient to promote the best interests of the Company and that are not in conflict with the provisions of the Plan or Awards.</w:t>
      </w:r>
    </w:p>
    <w:p>
      <w:pPr>
        <w:spacing w:after="0" w:line="53" w:lineRule="exact"/>
        <w:rPr>
          <w:rFonts w:ascii="Times New Roman" w:cs="Times New Roman" w:eastAsia="Times New Roman" w:hAnsi="Times New Roman"/>
          <w:sz w:val="18"/>
          <w:szCs w:val="18"/>
          <w:b w:val="1"/>
          <w:bCs w:val="1"/>
          <w:color w:val="auto"/>
        </w:rPr>
      </w:pPr>
    </w:p>
    <w:p>
      <w:pPr>
        <w:jc w:val="both"/>
        <w:ind w:left="-40" w:right="280" w:firstLine="987"/>
        <w:spacing w:after="0" w:line="261" w:lineRule="auto"/>
        <w:tabs>
          <w:tab w:leader="none" w:pos="1256" w:val="left"/>
        </w:tabs>
        <w:numPr>
          <w:ilvl w:val="1"/>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adopt such procedures and sub-plans as are necessary or appropriate to permit and facilitate participation in the Plan by, or take advantage of specific tax treatment for Awards granted to, Employees, Directors or Consultants who are non-U.S. nationals or employed outside the United States (provided that Board approval will not be necessary for immaterial modifications to the Plan or any Award Agreement to ensure or facilitate compliance with the laws of the relevant non-U.S. jurisdiction).</w:t>
      </w:r>
    </w:p>
    <w:p>
      <w:pPr>
        <w:spacing w:after="0" w:line="71" w:lineRule="exact"/>
        <w:rPr>
          <w:rFonts w:ascii="Times New Roman" w:cs="Times New Roman" w:eastAsia="Times New Roman" w:hAnsi="Times New Roman"/>
          <w:sz w:val="18"/>
          <w:szCs w:val="18"/>
          <w:b w:val="1"/>
          <w:bCs w:val="1"/>
          <w:color w:val="auto"/>
        </w:rPr>
      </w:pPr>
    </w:p>
    <w:p>
      <w:pPr>
        <w:ind w:left="-40" w:right="60" w:firstLine="987"/>
        <w:spacing w:after="0" w:line="258" w:lineRule="auto"/>
        <w:tabs>
          <w:tab w:leader="none" w:pos="1306" w:val="left"/>
        </w:tabs>
        <w:numPr>
          <w:ilvl w:val="1"/>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effect, at any time and from time to time, subject to the consent of any Participant whose Award is Materially Impaired by such action, (1) the reduction of the exercise price (or strike price) of any outstanding Option or SAR; (2) the cancellation of any outstanding Option or SAR and the grant in substitution therefor of (A) a new Option, SAR, Restricted Stock Award, RSU Award or Other Award, under the Plan or another equity plan of the Company, covering the same or a different number of shares of Common Stock, (B) cash and/or (C) other valuable consideration (as determined by the Board); or (3) any other action that is treated as a repricing under generally accepted accounting principles.</w:t>
      </w:r>
    </w:p>
    <w:p>
      <w:pPr>
        <w:spacing w:after="0" w:line="71" w:lineRule="exact"/>
        <w:rPr>
          <w:rFonts w:ascii="Times New Roman" w:cs="Times New Roman" w:eastAsia="Times New Roman" w:hAnsi="Times New Roman"/>
          <w:sz w:val="18"/>
          <w:szCs w:val="18"/>
          <w:b w:val="1"/>
          <w:bCs w:val="1"/>
          <w:color w:val="auto"/>
        </w:rPr>
      </w:pPr>
    </w:p>
    <w:p>
      <w:pPr>
        <w:ind w:left="640" w:hanging="244"/>
        <w:spacing w:after="0"/>
        <w:tabs>
          <w:tab w:leader="none" w:pos="64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Delegation to Committee.</w:t>
      </w:r>
    </w:p>
    <w:p>
      <w:pPr>
        <w:spacing w:after="0" w:line="117" w:lineRule="exact"/>
        <w:rPr>
          <w:rFonts w:ascii="Times New Roman" w:cs="Times New Roman" w:eastAsia="Times New Roman" w:hAnsi="Times New Roman"/>
          <w:sz w:val="18"/>
          <w:szCs w:val="18"/>
          <w:b w:val="1"/>
          <w:bCs w:val="1"/>
          <w:color w:val="auto"/>
        </w:rPr>
      </w:pPr>
    </w:p>
    <w:p>
      <w:pPr>
        <w:ind w:left="-40" w:firstLine="987"/>
        <w:spacing w:after="0" w:line="255" w:lineRule="auto"/>
        <w:tabs>
          <w:tab w:leader="none" w:pos="1166"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The Board may delegate some or all of the administration of the Plan to a Committee or Committees. If administration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the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w:t>
      </w:r>
    </w:p>
    <w:p>
      <w:pPr>
        <w:spacing w:after="0" w:line="76" w:lineRule="exact"/>
        <w:rPr>
          <w:rFonts w:ascii="Times New Roman" w:cs="Times New Roman" w:eastAsia="Times New Roman" w:hAnsi="Times New Roman"/>
          <w:sz w:val="18"/>
          <w:szCs w:val="18"/>
          <w:b w:val="1"/>
          <w:bCs w:val="1"/>
          <w:color w:val="auto"/>
        </w:rPr>
      </w:pPr>
    </w:p>
    <w:p>
      <w:pPr>
        <w:ind w:left="-40" w:firstLine="987"/>
        <w:spacing w:after="0" w:line="262" w:lineRule="auto"/>
        <w:tabs>
          <w:tab w:leader="none" w:pos="1216"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Rule 16b-3 Compliance. </w:t>
      </w:r>
      <w:r>
        <w:rPr>
          <w:rFonts w:ascii="Times New Roman" w:cs="Times New Roman" w:eastAsia="Times New Roman" w:hAnsi="Times New Roman"/>
          <w:sz w:val="18"/>
          <w:szCs w:val="18"/>
          <w:color w:val="auto"/>
        </w:rPr>
        <w:t>To the extent an Award is intended to qualify for the exemption from Section 16(b) of the Exchange Act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w:t>
      </w:r>
    </w:p>
    <w:p>
      <w:pPr>
        <w:spacing w:after="0" w:line="68" w:lineRule="exact"/>
        <w:rPr>
          <w:rFonts w:ascii="Times New Roman" w:cs="Times New Roman" w:eastAsia="Times New Roman" w:hAnsi="Times New Roman"/>
          <w:sz w:val="18"/>
          <w:szCs w:val="18"/>
          <w:b w:val="1"/>
          <w:bCs w:val="1"/>
          <w:color w:val="auto"/>
        </w:rPr>
      </w:pPr>
    </w:p>
    <w:p>
      <w:pPr>
        <w:ind w:left="-40" w:right="60" w:firstLine="436"/>
        <w:spacing w:after="0" w:line="286" w:lineRule="auto"/>
        <w:tabs>
          <w:tab w:leader="none" w:pos="665"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 of Board’s Decision. </w:t>
      </w:r>
      <w:r>
        <w:rPr>
          <w:rFonts w:ascii="Times New Roman" w:cs="Times New Roman" w:eastAsia="Times New Roman" w:hAnsi="Times New Roman"/>
          <w:sz w:val="18"/>
          <w:szCs w:val="18"/>
          <w:color w:val="auto"/>
        </w:rPr>
        <w:t>All determinations, interpretations and constructions made by the Board or any Committee in good faith will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subject to review by any person and will be final, binding and conclusive on all persons.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20"/>
          </w:cols>
          <w:pgMar w:left="480" w:top="270" w:right="499" w:bottom="1440" w:gutter="0" w:footer="0" w:header="0"/>
        </w:sectPr>
      </w:pPr>
    </w:p>
    <w:bookmarkStart w:id="18" w:name="page19"/>
    <w:bookmarkEnd w:id="18"/>
    <w:p>
      <w:pPr>
        <w:ind w:left="4" w:firstLine="436"/>
        <w:spacing w:after="0" w:line="254" w:lineRule="auto"/>
        <w:tabs>
          <w:tab w:leader="none" w:pos="689"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Delegation to Other Person or Body. </w:t>
      </w:r>
      <w:r>
        <w:rPr>
          <w:rFonts w:ascii="Times New Roman" w:cs="Times New Roman" w:eastAsia="Times New Roman" w:hAnsi="Times New Roman"/>
          <w:sz w:val="18"/>
          <w:szCs w:val="18"/>
          <w:color w:val="auto"/>
        </w:rPr>
        <w:t>The Board or any Committee may delegate to one or more persons or bodies the authority to do one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more of the following to the extent permitted by Applicable Law: (i) designate recipients, other than Officers, of Awards, provided that no person or body may be delegated authority to grant an Award to themself; (ii) determine the number of shares subject to such Awards; and (iii) determine the terms of such Awards; provided, however, that the Board or Committee action regarding such delegation will fix the terms of such delegation in accordance with Applicable Law, including without limitation Sections 152 and 157 of the Delaware General Corporation Law. Unless provided otherwise in the Board or Committee action regarding such delegation, each Award granted pursuant to this section will be granted on the applicable form of Award Agreement most recently approved for use by the Board or the Committee, with any modifications necessary to incorporate or reflect the terms of such Award. Notwithstanding anything to the contrary herein, neither the Board nor any Committee may delegate to any person or body (who is not a Director or that is not comprised solely of Directors, respectively) the authority to determine the Fair Market Value.</w:t>
      </w:r>
    </w:p>
    <w:p>
      <w:pPr>
        <w:spacing w:after="0" w:line="296" w:lineRule="exact"/>
        <w:rPr>
          <w:rFonts w:ascii="Times New Roman" w:cs="Times New Roman" w:eastAsia="Times New Roman" w:hAnsi="Times New Roman"/>
          <w:sz w:val="18"/>
          <w:szCs w:val="18"/>
          <w:b w:val="1"/>
          <w:bCs w:val="1"/>
          <w:color w:val="auto"/>
        </w:rPr>
      </w:pPr>
    </w:p>
    <w:p>
      <w:pPr>
        <w:ind w:left="184" w:hanging="184"/>
        <w:spacing w:after="0"/>
        <w:tabs>
          <w:tab w:leader="none" w:pos="184"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AX</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ITHHOLDING</w:t>
      </w:r>
    </w:p>
    <w:p>
      <w:pPr>
        <w:spacing w:after="0" w:line="117" w:lineRule="exact"/>
        <w:rPr>
          <w:rFonts w:ascii="Times New Roman" w:cs="Times New Roman" w:eastAsia="Times New Roman" w:hAnsi="Times New Roman"/>
          <w:sz w:val="18"/>
          <w:szCs w:val="18"/>
          <w:b w:val="1"/>
          <w:bCs w:val="1"/>
          <w:color w:val="auto"/>
        </w:rPr>
      </w:pPr>
    </w:p>
    <w:p>
      <w:pPr>
        <w:ind w:left="4" w:right="20" w:firstLine="436"/>
        <w:spacing w:after="0" w:line="259" w:lineRule="auto"/>
        <w:tabs>
          <w:tab w:leader="none" w:pos="699" w:val="left"/>
        </w:tabs>
        <w:numPr>
          <w:ilvl w:val="1"/>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Withholding Authorization. </w:t>
      </w:r>
      <w:r>
        <w:rPr>
          <w:rFonts w:ascii="Times New Roman" w:cs="Times New Roman" w:eastAsia="Times New Roman" w:hAnsi="Times New Roman"/>
          <w:sz w:val="18"/>
          <w:szCs w:val="18"/>
          <w:color w:val="auto"/>
        </w:rPr>
        <w:t>As a condition to acceptance of any Award under the Plan, a Participant authorizes withholding from payroll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other amounts payable to such Participant, and otherwise agrees to make adequate arrangements to satisfy the Tax-Related Items withholding obligations, if any, of the Company and/or an Affiliate that arise in connection with the grant, vesting, exercise or settlement of such Award, as applicable. Accordingly, a Participant may not be able to exercise an Award even though the Award is vested, and the Company shall have no obligation to issue shares of Common Stock subject to an Award, unless and until such obligations are satisfied.</w:t>
      </w:r>
    </w:p>
    <w:p>
      <w:pPr>
        <w:spacing w:after="0" w:line="71" w:lineRule="exact"/>
        <w:rPr>
          <w:rFonts w:ascii="Times New Roman" w:cs="Times New Roman" w:eastAsia="Times New Roman" w:hAnsi="Times New Roman"/>
          <w:sz w:val="18"/>
          <w:szCs w:val="18"/>
          <w:b w:val="1"/>
          <w:bCs w:val="1"/>
          <w:color w:val="auto"/>
        </w:rPr>
      </w:pPr>
    </w:p>
    <w:p>
      <w:pPr>
        <w:ind w:left="704" w:hanging="264"/>
        <w:spacing w:after="0"/>
        <w:tabs>
          <w:tab w:leader="none" w:pos="704" w:val="left"/>
        </w:tabs>
        <w:numPr>
          <w:ilvl w:val="1"/>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Satisfaction of Withholding Obligation. </w:t>
      </w:r>
      <w:r>
        <w:rPr>
          <w:rFonts w:ascii="Times New Roman" w:cs="Times New Roman" w:eastAsia="Times New Roman" w:hAnsi="Times New Roman"/>
          <w:sz w:val="18"/>
          <w:szCs w:val="18"/>
          <w:color w:val="auto"/>
        </w:rPr>
        <w:t>To the extent permitted by the terms of an Award Agreement, the Company may, in its sole</w:t>
      </w:r>
    </w:p>
    <w:p>
      <w:pPr>
        <w:spacing w:after="0" w:line="31" w:lineRule="exact"/>
        <w:rPr>
          <w:rFonts w:ascii="Times New Roman" w:cs="Times New Roman" w:eastAsia="Times New Roman" w:hAnsi="Times New Roman"/>
          <w:sz w:val="18"/>
          <w:szCs w:val="18"/>
          <w:b w:val="1"/>
          <w:bCs w:val="1"/>
          <w:color w:val="auto"/>
        </w:rPr>
      </w:pPr>
    </w:p>
    <w:p>
      <w:pPr>
        <w:ind w:left="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discretion, satisfy any Tax-Related Items withholding obligation relating to an Award by any of the following means or by a combination of such means:</w:t>
      </w:r>
    </w:p>
    <w:p>
      <w:pPr>
        <w:spacing w:after="0" w:line="20" w:lineRule="exact"/>
        <w:rPr>
          <w:rFonts w:ascii="Times New Roman" w:cs="Times New Roman" w:eastAsia="Times New Roman" w:hAnsi="Times New Roman"/>
          <w:sz w:val="18"/>
          <w:szCs w:val="18"/>
          <w:b w:val="1"/>
          <w:bCs w:val="1"/>
          <w:color w:val="auto"/>
        </w:rPr>
      </w:pPr>
    </w:p>
    <w:p>
      <w:pPr>
        <w:ind w:left="4" w:right="28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U.S. Federal Reserve Board; or (vi) by such other method as may be set forth in the Award Agreement.</w:t>
      </w:r>
    </w:p>
    <w:p>
      <w:pPr>
        <w:spacing w:after="0" w:line="76" w:lineRule="exact"/>
        <w:rPr>
          <w:rFonts w:ascii="Times New Roman" w:cs="Times New Roman" w:eastAsia="Times New Roman" w:hAnsi="Times New Roman"/>
          <w:sz w:val="18"/>
          <w:szCs w:val="18"/>
          <w:b w:val="1"/>
          <w:bCs w:val="1"/>
          <w:color w:val="auto"/>
        </w:rPr>
      </w:pPr>
    </w:p>
    <w:p>
      <w:pPr>
        <w:ind w:left="4" w:right="140" w:firstLine="436"/>
        <w:spacing w:after="0" w:line="256" w:lineRule="auto"/>
        <w:tabs>
          <w:tab w:leader="none" w:pos="689" w:val="left"/>
        </w:tabs>
        <w:numPr>
          <w:ilvl w:val="1"/>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Obligation to Notify or Minimize Taxes; No Liability to Claims. </w:t>
      </w:r>
      <w:r>
        <w:rPr>
          <w:rFonts w:ascii="Times New Roman" w:cs="Times New Roman" w:eastAsia="Times New Roman" w:hAnsi="Times New Roman"/>
          <w:sz w:val="18"/>
          <w:szCs w:val="18"/>
          <w:color w:val="auto"/>
        </w:rPr>
        <w:t>Except as required by Applicable Law, the Company has no duty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4"/>
          </w:cols>
          <w:pgMar w:left="436" w:top="266" w:right="439" w:bottom="1440" w:gutter="0" w:footer="0" w:header="0"/>
        </w:sectPr>
      </w:pPr>
    </w:p>
    <w:bookmarkStart w:id="19" w:name="page20"/>
    <w:bookmarkEnd w:id="19"/>
    <w:p>
      <w:pPr>
        <w:ind w:left="4"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U.S. Internal Revenue Service and there is no other impermissible deferral of compensation associated with the Award. Additionally, as a condition to accepting an Option or SAR granted under the Plan, each Participant agrees to not make any claim against the Company, or any of its Officers, Directors, Employees or Affiliates in the event that the U.S. Internal Revenue Service asserts that such exercise price or strike price is less than the “fair market value” of the Common Stock on the date of grant as subsequently determined by the U.S. Internal Revenue Service.</w:t>
      </w:r>
    </w:p>
    <w:p>
      <w:pPr>
        <w:spacing w:after="0" w:line="80" w:lineRule="exact"/>
        <w:rPr>
          <w:sz w:val="20"/>
          <w:szCs w:val="20"/>
          <w:color w:val="auto"/>
        </w:rPr>
      </w:pPr>
    </w:p>
    <w:p>
      <w:pPr>
        <w:ind w:left="4" w:firstLine="436"/>
        <w:spacing w:after="0" w:line="254" w:lineRule="auto"/>
        <w:tabs>
          <w:tab w:leader="none" w:pos="709" w:val="left"/>
        </w:tabs>
        <w:numPr>
          <w:ilvl w:val="1"/>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Withholding Indemnification. </w:t>
      </w:r>
      <w:r>
        <w:rPr>
          <w:rFonts w:ascii="Times New Roman" w:cs="Times New Roman" w:eastAsia="Times New Roman" w:hAnsi="Times New Roman"/>
          <w:sz w:val="18"/>
          <w:szCs w:val="18"/>
          <w:color w:val="auto"/>
        </w:rPr>
        <w:t>The Company and/or its Affiliate may withhold or account for Tax-Related Items by considering statutory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withholding rates, including minimum or maximum rates applicable in a Participant’s jurisdiction. In the event of overwithholding, the Participant may receive a refund of any over-withheld amount in cash (with no entitlement to the equivalent in Common Stock) or, if not refunded, the Participant may seek a refund from the local tax authorities. In the event of under-withholding, the Participant may be required to pay any additional Tax-Related Items directly to the applicable tax authority or to the Company and/or its Affiliate. As a condition to accepting an Award under the Plan, in the event that the amount of the Company’s and/or its 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 Further, if the obligation for Tax-Related Items is satisfied by withholding in shares of Common Stock, for tax purposes, the Participant will be deemed to have been issued the full number of shares subject to the Award, notwithstanding that a number of the shares is held back solely for the purpose of paying the Tax-Related Items.</w:t>
      </w:r>
    </w:p>
    <w:p>
      <w:pPr>
        <w:spacing w:after="0" w:line="293" w:lineRule="exact"/>
        <w:rPr>
          <w:rFonts w:ascii="Times New Roman" w:cs="Times New Roman" w:eastAsia="Times New Roman" w:hAnsi="Times New Roman"/>
          <w:sz w:val="18"/>
          <w:szCs w:val="18"/>
          <w:b w:val="1"/>
          <w:bCs w:val="1"/>
          <w:color w:val="auto"/>
        </w:rPr>
      </w:pPr>
    </w:p>
    <w:p>
      <w:pPr>
        <w:ind w:left="184" w:hanging="184"/>
        <w:spacing w:after="0"/>
        <w:tabs>
          <w:tab w:leader="none" w:pos="184"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ISCELLANEOUS</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4" w:right="80" w:firstLine="436"/>
        <w:spacing w:after="0" w:line="286" w:lineRule="auto"/>
        <w:tabs>
          <w:tab w:leader="none" w:pos="699" w:val="left"/>
        </w:tabs>
        <w:numPr>
          <w:ilvl w:val="1"/>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Shares. </w:t>
      </w:r>
      <w:r>
        <w:rPr>
          <w:rFonts w:ascii="Times New Roman" w:cs="Times New Roman" w:eastAsia="Times New Roman" w:hAnsi="Times New Roman"/>
          <w:sz w:val="18"/>
          <w:szCs w:val="18"/>
          <w:color w:val="auto"/>
        </w:rPr>
        <w:t>The stock issuable under the Plan will be shares of authorized but unissued or reacquired Common Stock, including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repurchased by the Company on the open market or otherwise.</w:t>
      </w:r>
    </w:p>
    <w:p>
      <w:pPr>
        <w:spacing w:after="0" w:line="46" w:lineRule="exact"/>
        <w:rPr>
          <w:rFonts w:ascii="Times New Roman" w:cs="Times New Roman" w:eastAsia="Times New Roman" w:hAnsi="Times New Roman"/>
          <w:sz w:val="18"/>
          <w:szCs w:val="18"/>
          <w:b w:val="1"/>
          <w:bCs w:val="1"/>
          <w:color w:val="auto"/>
        </w:rPr>
      </w:pPr>
    </w:p>
    <w:p>
      <w:pPr>
        <w:ind w:left="4" w:right="500" w:firstLine="436"/>
        <w:spacing w:after="0" w:line="286" w:lineRule="auto"/>
        <w:tabs>
          <w:tab w:leader="none" w:pos="709" w:val="left"/>
        </w:tabs>
        <w:numPr>
          <w:ilvl w:val="1"/>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Use of Proceeds from Sales of Common Stock. </w:t>
      </w:r>
      <w:r>
        <w:rPr>
          <w:rFonts w:ascii="Times New Roman" w:cs="Times New Roman" w:eastAsia="Times New Roman" w:hAnsi="Times New Roman"/>
          <w:sz w:val="18"/>
          <w:szCs w:val="18"/>
          <w:color w:val="auto"/>
        </w:rPr>
        <w:t>Proceeds from the sale of shares of Common Stock pursuant to Awards will constitute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 funds of the Company.</w:t>
      </w:r>
    </w:p>
    <w:p>
      <w:pPr>
        <w:spacing w:after="0" w:line="46" w:lineRule="exact"/>
        <w:rPr>
          <w:rFonts w:ascii="Times New Roman" w:cs="Times New Roman" w:eastAsia="Times New Roman" w:hAnsi="Times New Roman"/>
          <w:sz w:val="18"/>
          <w:szCs w:val="18"/>
          <w:b w:val="1"/>
          <w:bCs w:val="1"/>
          <w:color w:val="auto"/>
        </w:rPr>
      </w:pPr>
    </w:p>
    <w:p>
      <w:pPr>
        <w:ind w:left="4" w:right="60" w:firstLine="436"/>
        <w:spacing w:after="0" w:line="256" w:lineRule="auto"/>
        <w:tabs>
          <w:tab w:leader="none" w:pos="689" w:val="left"/>
        </w:tabs>
        <w:numPr>
          <w:ilvl w:val="1"/>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Corporate Action Constituting Grant of Awards. </w:t>
      </w:r>
      <w:r>
        <w:rPr>
          <w:rFonts w:ascii="Times New Roman" w:cs="Times New Roman" w:eastAsia="Times New Roman" w:hAnsi="Times New Roman"/>
          <w:sz w:val="18"/>
          <w:szCs w:val="18"/>
          <w:color w:val="auto"/>
        </w:rPr>
        <w:t>Corporate action constituting a grant by the Company of an Award to any Participant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4"/>
          </w:cols>
          <w:pgMar w:left="436" w:top="270" w:right="479" w:bottom="1440" w:gutter="0" w:footer="0" w:header="0"/>
        </w:sectPr>
      </w:pPr>
    </w:p>
    <w:bookmarkStart w:id="20" w:name="page21"/>
    <w:bookmarkEnd w:id="20"/>
    <w:p>
      <w:pPr>
        <w:ind w:left="-20" w:right="80" w:firstLine="436"/>
        <w:spacing w:after="0" w:line="268" w:lineRule="auto"/>
        <w:tabs>
          <w:tab w:leader="none" w:pos="685"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Stockholder Rights. </w:t>
      </w:r>
      <w:r>
        <w:rPr>
          <w:rFonts w:ascii="Times New Roman" w:cs="Times New Roman" w:eastAsia="Times New Roman" w:hAnsi="Times New Roman"/>
          <w:sz w:val="18"/>
          <w:szCs w:val="18"/>
          <w:color w:val="auto"/>
        </w:rPr>
        <w:t>No Participant will be deemed to be the holder of, or to have any of the rights of a holder with respect to, any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subject to such Award unless and until (i) such Participant has satisfied all requirements for exercise of the Award pursuant to its terms, if applicable, and (ii) the issuance of the Common Stock subject to such Award is reflected in the records of the Company.</w:t>
      </w:r>
    </w:p>
    <w:p>
      <w:pPr>
        <w:spacing w:after="0" w:line="62" w:lineRule="exact"/>
        <w:rPr>
          <w:rFonts w:ascii="Times New Roman" w:cs="Times New Roman" w:eastAsia="Times New Roman" w:hAnsi="Times New Roman"/>
          <w:sz w:val="18"/>
          <w:szCs w:val="18"/>
          <w:b w:val="1"/>
          <w:bCs w:val="1"/>
          <w:color w:val="auto"/>
        </w:rPr>
      </w:pPr>
    </w:p>
    <w:p>
      <w:pPr>
        <w:ind w:left="-20" w:firstLine="436"/>
        <w:spacing w:after="0" w:line="254" w:lineRule="auto"/>
        <w:tabs>
          <w:tab w:leader="none" w:pos="665"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Employment or Other Service Rights. </w:t>
      </w:r>
      <w:r>
        <w:rPr>
          <w:rFonts w:ascii="Times New Roman" w:cs="Times New Roman" w:eastAsia="Times New Roman" w:hAnsi="Times New Roman"/>
          <w:sz w:val="18"/>
          <w:szCs w:val="18"/>
          <w:color w:val="auto"/>
        </w:rPr>
        <w:t>Nothing in the Plan, any Award Agreement or any other instrument executed thereunder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any Award granted pursuant thereto will confer upon any Participant any right to continue to serve the Company or an Affiliate in the capacity in effect at the time the Award was granted or affect the right of the Company or an Affiliate to terminate at will (unless otherwise required under Applicable Law)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U.S. state or non-U.S.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w:t>
      </w:r>
    </w:p>
    <w:p>
      <w:pPr>
        <w:spacing w:after="0" w:line="74" w:lineRule="exact"/>
        <w:rPr>
          <w:rFonts w:ascii="Times New Roman" w:cs="Times New Roman" w:eastAsia="Times New Roman" w:hAnsi="Times New Roman"/>
          <w:sz w:val="18"/>
          <w:szCs w:val="18"/>
          <w:b w:val="1"/>
          <w:bCs w:val="1"/>
          <w:color w:val="auto"/>
        </w:rPr>
      </w:pPr>
    </w:p>
    <w:p>
      <w:pPr>
        <w:ind w:left="-20" w:right="60" w:firstLine="436"/>
        <w:spacing w:after="0" w:line="256" w:lineRule="auto"/>
        <w:tabs>
          <w:tab w:leader="none" w:pos="645"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Change in Time Commitment. </w:t>
      </w:r>
      <w:r>
        <w:rPr>
          <w:rFonts w:ascii="Times New Roman" w:cs="Times New Roman" w:eastAsia="Times New Roman" w:hAnsi="Times New Roman"/>
          <w:sz w:val="18"/>
          <w:szCs w:val="18"/>
          <w:color w:val="auto"/>
        </w:rPr>
        <w:t>In the event a Participant’s regular level of time commitment in the performance of his or her services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74" w:lineRule="exact"/>
        <w:rPr>
          <w:rFonts w:ascii="Times New Roman" w:cs="Times New Roman" w:eastAsia="Times New Roman" w:hAnsi="Times New Roman"/>
          <w:sz w:val="18"/>
          <w:szCs w:val="18"/>
          <w:b w:val="1"/>
          <w:bCs w:val="1"/>
          <w:color w:val="auto"/>
        </w:rPr>
      </w:pPr>
    </w:p>
    <w:p>
      <w:pPr>
        <w:ind w:left="-20" w:right="200" w:firstLine="436"/>
        <w:spacing w:after="0" w:line="268" w:lineRule="auto"/>
        <w:tabs>
          <w:tab w:leader="none" w:pos="675"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Execution of Additional Documents. </w:t>
      </w:r>
      <w:r>
        <w:rPr>
          <w:rFonts w:ascii="Times New Roman" w:cs="Times New Roman" w:eastAsia="Times New Roman" w:hAnsi="Times New Roman"/>
          <w:sz w:val="18"/>
          <w:szCs w:val="18"/>
          <w:color w:val="auto"/>
        </w:rPr>
        <w:t>As a condition to accepting an Award under the Plan, the Participant agrees to execute any additional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or instruments necessary or desirable, as determined in the Plan Administrator’s sole discretion, to carry out the purposes or intent of the Award, or facilitate compliance with securities and/or other regulatory requirements, in each case at the Plan Administrator’s request.</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60"/>
          </w:cols>
          <w:pgMar w:left="460" w:top="266" w:right="479" w:bottom="1440" w:gutter="0" w:footer="0" w:header="0"/>
        </w:sectPr>
      </w:pPr>
    </w:p>
    <w:bookmarkStart w:id="21" w:name="page22"/>
    <w:bookmarkEnd w:id="21"/>
    <w:p>
      <w:pPr>
        <w:ind w:right="80" w:firstLine="436"/>
        <w:spacing w:after="0" w:line="257" w:lineRule="auto"/>
        <w:tabs>
          <w:tab w:leader="none" w:pos="705"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Electronic Delivery and Participation. </w:t>
      </w:r>
      <w:r>
        <w:rPr>
          <w:rFonts w:ascii="Times New Roman" w:cs="Times New Roman" w:eastAsia="Times New Roman" w:hAnsi="Times New Roman"/>
          <w:sz w:val="18"/>
          <w:szCs w:val="18"/>
          <w:color w:val="auto"/>
        </w:rPr>
        <w:t>Any reference herein or in an Award Agreement to a “written” agreement or document will include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w:t>
      </w:r>
    </w:p>
    <w:p>
      <w:pPr>
        <w:spacing w:after="0" w:line="74" w:lineRule="exact"/>
        <w:rPr>
          <w:rFonts w:ascii="Times New Roman" w:cs="Times New Roman" w:eastAsia="Times New Roman" w:hAnsi="Times New Roman"/>
          <w:sz w:val="18"/>
          <w:szCs w:val="18"/>
          <w:b w:val="1"/>
          <w:bCs w:val="1"/>
          <w:color w:val="auto"/>
        </w:rPr>
      </w:pPr>
    </w:p>
    <w:p>
      <w:pPr>
        <w:ind w:firstLine="436"/>
        <w:spacing w:after="0" w:line="255" w:lineRule="auto"/>
        <w:tabs>
          <w:tab w:leader="none" w:pos="655"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Clawback/Recovery. </w:t>
      </w:r>
      <w:r>
        <w:rPr>
          <w:rFonts w:ascii="Times New Roman" w:cs="Times New Roman" w:eastAsia="Times New Roman" w:hAnsi="Times New Roman"/>
          <w:sz w:val="18"/>
          <w:szCs w:val="18"/>
          <w:color w:val="auto"/>
        </w:rPr>
        <w:t>All Awards granted under the Plan will be subject to recoupment in accordance with any clawback policy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voluntarily terminate employment upon a “resignation for good reason,” or for a “constructive termination” or any similar term under any plan of or agreement with the Company.</w:t>
      </w:r>
    </w:p>
    <w:p>
      <w:pPr>
        <w:spacing w:after="0" w:line="76" w:lineRule="exact"/>
        <w:rPr>
          <w:rFonts w:ascii="Times New Roman" w:cs="Times New Roman" w:eastAsia="Times New Roman" w:hAnsi="Times New Roman"/>
          <w:sz w:val="18"/>
          <w:szCs w:val="18"/>
          <w:b w:val="1"/>
          <w:bCs w:val="1"/>
          <w:color w:val="auto"/>
        </w:rPr>
      </w:pPr>
    </w:p>
    <w:p>
      <w:pPr>
        <w:jc w:val="both"/>
        <w:ind w:right="20" w:firstLine="436"/>
        <w:spacing w:after="0" w:line="262" w:lineRule="auto"/>
        <w:tabs>
          <w:tab w:leader="none" w:pos="665"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Securities Law Compliance. </w:t>
      </w:r>
      <w:r>
        <w:rPr>
          <w:rFonts w:ascii="Times New Roman" w:cs="Times New Roman" w:eastAsia="Times New Roman" w:hAnsi="Times New Roman"/>
          <w:sz w:val="18"/>
          <w:szCs w:val="18"/>
          <w:color w:val="auto"/>
        </w:rPr>
        <w:t>A Participant will not be issued any shares in respect of an Award unless either (i) the shares are registered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w:t>
      </w:r>
    </w:p>
    <w:p>
      <w:pPr>
        <w:spacing w:after="0" w:line="68" w:lineRule="exact"/>
        <w:rPr>
          <w:rFonts w:ascii="Times New Roman" w:cs="Times New Roman" w:eastAsia="Times New Roman" w:hAnsi="Times New Roman"/>
          <w:sz w:val="18"/>
          <w:szCs w:val="18"/>
          <w:b w:val="1"/>
          <w:bCs w:val="1"/>
          <w:color w:val="auto"/>
        </w:rPr>
      </w:pPr>
    </w:p>
    <w:p>
      <w:pPr>
        <w:ind w:right="20" w:firstLine="436"/>
        <w:spacing w:after="0" w:line="259" w:lineRule="auto"/>
        <w:tabs>
          <w:tab w:leader="none" w:pos="705"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 or Assignment of Awards; Issued Shares. </w:t>
      </w:r>
      <w:r>
        <w:rPr>
          <w:rFonts w:ascii="Times New Roman" w:cs="Times New Roman" w:eastAsia="Times New Roman" w:hAnsi="Times New Roman"/>
          <w:sz w:val="18"/>
          <w:szCs w:val="18"/>
          <w:color w:val="auto"/>
        </w:rPr>
        <w:t>Except as expressly provided in the Plan or the form of Award Agreement,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under the Plan may not be transferred or assigned by the Participant. After the vested shares subject to an Award have been issued, or in the case of a Restricted Stock Award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w:t>
      </w:r>
    </w:p>
    <w:p>
      <w:pPr>
        <w:spacing w:after="0" w:line="71" w:lineRule="exact"/>
        <w:rPr>
          <w:rFonts w:ascii="Times New Roman" w:cs="Times New Roman" w:eastAsia="Times New Roman" w:hAnsi="Times New Roman"/>
          <w:sz w:val="18"/>
          <w:szCs w:val="18"/>
          <w:b w:val="1"/>
          <w:bCs w:val="1"/>
          <w:color w:val="auto"/>
        </w:rPr>
      </w:pPr>
    </w:p>
    <w:p>
      <w:pPr>
        <w:jc w:val="both"/>
        <w:ind w:right="40" w:firstLine="436"/>
        <w:spacing w:after="0" w:line="262" w:lineRule="auto"/>
        <w:tabs>
          <w:tab w:leader="none" w:pos="655"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 on Other Employee Benefit Plans. </w:t>
      </w:r>
      <w:r>
        <w:rPr>
          <w:rFonts w:ascii="Times New Roman" w:cs="Times New Roman" w:eastAsia="Times New Roman" w:hAnsi="Times New Roman"/>
          <w:sz w:val="18"/>
          <w:szCs w:val="18"/>
          <w:color w:val="auto"/>
        </w:rPr>
        <w:t>The value of any Award granted under the Plan, as determined upon grant, vesting or settlement,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68" w:lineRule="exact"/>
        <w:rPr>
          <w:rFonts w:ascii="Times New Roman" w:cs="Times New Roman" w:eastAsia="Times New Roman" w:hAnsi="Times New Roman"/>
          <w:sz w:val="18"/>
          <w:szCs w:val="18"/>
          <w:b w:val="1"/>
          <w:bCs w:val="1"/>
          <w:color w:val="auto"/>
        </w:rPr>
      </w:pPr>
    </w:p>
    <w:p>
      <w:pPr>
        <w:ind w:right="80" w:firstLine="436"/>
        <w:spacing w:after="0" w:line="268" w:lineRule="auto"/>
        <w:tabs>
          <w:tab w:leader="none" w:pos="755"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Deferrals. </w:t>
      </w:r>
      <w:r>
        <w:rPr>
          <w:rFonts w:ascii="Times New Roman" w:cs="Times New Roman" w:eastAsia="Times New Roman" w:hAnsi="Times New Roman"/>
          <w:sz w:val="18"/>
          <w:szCs w:val="18"/>
          <w:color w:val="auto"/>
        </w:rPr>
        <w:t>To the extent permitted by Applicable Law, the Board, in its sole discretion, may determine that the delivery of Common Stock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payment of cash, upon the exercise, vesting or settlement of all or a portion of any Award may be deferred and may also establish programs and procedures for deferral elections to be made by Participants. Deferrals will be made in accordance with the requirements of Section 409A.</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66" w:right="459" w:bottom="1440" w:gutter="0" w:footer="0" w:header="0"/>
        </w:sectPr>
      </w:pPr>
    </w:p>
    <w:bookmarkStart w:id="22" w:name="page23"/>
    <w:bookmarkEnd w:id="22"/>
    <w:p>
      <w:pPr>
        <w:ind w:left="4" w:firstLine="436"/>
        <w:spacing w:after="0" w:line="253" w:lineRule="auto"/>
        <w:tabs>
          <w:tab w:leader="none" w:pos="709"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409A. </w:t>
      </w:r>
      <w:r>
        <w:rPr>
          <w:rFonts w:ascii="Times New Roman" w:cs="Times New Roman" w:eastAsia="Times New Roman" w:hAnsi="Times New Roman"/>
          <w:sz w:val="18"/>
          <w:szCs w:val="18"/>
          <w:color w:val="auto"/>
        </w:rPr>
        <w:t>Unless otherwise expressly provided for in an Award Agreement, the Plan and Award Agreements will be interpreted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w:t>
      </w:r>
    </w:p>
    <w:p>
      <w:pPr>
        <w:spacing w:after="0" w:line="81" w:lineRule="exact"/>
        <w:rPr>
          <w:rFonts w:ascii="Times New Roman" w:cs="Times New Roman" w:eastAsia="Times New Roman" w:hAnsi="Times New Roman"/>
          <w:sz w:val="18"/>
          <w:szCs w:val="18"/>
          <w:b w:val="1"/>
          <w:bCs w:val="1"/>
          <w:color w:val="auto"/>
        </w:rPr>
      </w:pPr>
    </w:p>
    <w:p>
      <w:pPr>
        <w:ind w:left="4" w:right="80" w:firstLine="436"/>
        <w:spacing w:after="0" w:line="268" w:lineRule="auto"/>
        <w:tabs>
          <w:tab w:leader="none" w:pos="699"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Choice of Law. </w:t>
      </w:r>
      <w:r>
        <w:rPr>
          <w:rFonts w:ascii="Times New Roman" w:cs="Times New Roman" w:eastAsia="Times New Roman" w:hAnsi="Times New Roman"/>
          <w:sz w:val="18"/>
          <w:szCs w:val="18"/>
          <w:color w:val="auto"/>
        </w:rPr>
        <w:t>This Plan and any controversy arising out of or relating to this Plan shall be governed by, and construed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internal laws of the State of Delaware, without regard to conflict of law principles that would result in any application of any law other than the law of the State of Delaware.</w:t>
      </w:r>
    </w:p>
    <w:p>
      <w:pPr>
        <w:spacing w:after="0" w:line="279" w:lineRule="exact"/>
        <w:rPr>
          <w:sz w:val="20"/>
          <w:szCs w:val="20"/>
          <w:color w:val="auto"/>
        </w:rPr>
      </w:pPr>
    </w:p>
    <w:p>
      <w:pPr>
        <w:ind w:left="264" w:hanging="264"/>
        <w:spacing w:after="0"/>
        <w:tabs>
          <w:tab w:leader="none" w:pos="264"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OVENANTS OF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OMPANY</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The Company will seek to obtain from each regulatory commission or agency, as may be deemed to be necessary, 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w:t>
      </w:r>
    </w:p>
    <w:p>
      <w:pPr>
        <w:spacing w:after="0" w:line="296" w:lineRule="exact"/>
        <w:rPr>
          <w:sz w:val="20"/>
          <w:szCs w:val="20"/>
          <w:color w:val="auto"/>
        </w:rPr>
      </w:pPr>
    </w:p>
    <w:p>
      <w:pPr>
        <w:ind w:left="264" w:hanging="264"/>
        <w:spacing w:after="0"/>
        <w:tabs>
          <w:tab w:leader="none" w:pos="264"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DDITIONAL</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ULES FOR</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WARDS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UBJECT TO</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18"/>
          <w:szCs w:val="18"/>
          <w:b w:val="1"/>
          <w:bCs w:val="1"/>
          <w:color w:val="auto"/>
        </w:rPr>
        <w:t xml:space="preserve"> 409A.</w:t>
      </w:r>
    </w:p>
    <w:p>
      <w:pPr>
        <w:spacing w:after="0" w:line="117" w:lineRule="exact"/>
        <w:rPr>
          <w:rFonts w:ascii="Times New Roman" w:cs="Times New Roman" w:eastAsia="Times New Roman" w:hAnsi="Times New Roman"/>
          <w:sz w:val="18"/>
          <w:szCs w:val="18"/>
          <w:b w:val="1"/>
          <w:bCs w:val="1"/>
          <w:color w:val="auto"/>
        </w:rPr>
      </w:pPr>
    </w:p>
    <w:p>
      <w:pPr>
        <w:ind w:left="4" w:firstLine="436"/>
        <w:spacing w:after="0" w:line="286" w:lineRule="auto"/>
        <w:tabs>
          <w:tab w:leader="none" w:pos="699" w:val="left"/>
        </w:tabs>
        <w:numPr>
          <w:ilvl w:val="1"/>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Application. </w:t>
      </w:r>
      <w:r>
        <w:rPr>
          <w:rFonts w:ascii="Times New Roman" w:cs="Times New Roman" w:eastAsia="Times New Roman" w:hAnsi="Times New Roman"/>
          <w:sz w:val="18"/>
          <w:szCs w:val="18"/>
          <w:color w:val="auto"/>
        </w:rPr>
        <w:t>Unless the provisions of this Section of the Plan are expressly superseded by the provisions in the form of Award Agreement,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this Section shall apply and shall supersede anything to the contrary set forth in the Award Agreement for a Non-Exempt Award.</w:t>
      </w:r>
    </w:p>
    <w:p>
      <w:pPr>
        <w:spacing w:after="0" w:line="9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64"/>
          </w:cols>
          <w:pgMar w:left="436" w:top="266" w:right="499" w:bottom="1440" w:gutter="0" w:footer="0" w:header="0"/>
        </w:sectPr>
      </w:pPr>
    </w:p>
    <w:bookmarkStart w:id="23" w:name="page24"/>
    <w:bookmarkEnd w:id="23"/>
    <w:p>
      <w:pPr>
        <w:ind w:left="4" w:right="260" w:firstLine="436"/>
        <w:spacing w:after="0" w:line="286" w:lineRule="auto"/>
        <w:tabs>
          <w:tab w:leader="none" w:pos="709"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Non-Exempt Awards Subject to Non-Exempt Severance Arrangements. </w:t>
      </w:r>
      <w:r>
        <w:rPr>
          <w:rFonts w:ascii="Times New Roman" w:cs="Times New Roman" w:eastAsia="Times New Roman" w:hAnsi="Times New Roman"/>
          <w:sz w:val="18"/>
          <w:szCs w:val="18"/>
          <w:color w:val="auto"/>
        </w:rPr>
        <w:t>To the extent a Non-Exempt Award is subject to Section 409A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due to application of a Non-Exempt Severance Arrangement, the following provisions of this subsection (b) apply.</w:t>
      </w:r>
    </w:p>
    <w:p>
      <w:pPr>
        <w:spacing w:after="0" w:line="50" w:lineRule="exact"/>
        <w:rPr>
          <w:rFonts w:ascii="Times New Roman" w:cs="Times New Roman" w:eastAsia="Times New Roman" w:hAnsi="Times New Roman"/>
          <w:sz w:val="18"/>
          <w:szCs w:val="18"/>
          <w:b w:val="1"/>
          <w:bCs w:val="1"/>
          <w:color w:val="auto"/>
        </w:rPr>
      </w:pPr>
    </w:p>
    <w:p>
      <w:pPr>
        <w:ind w:left="4" w:right="60" w:firstLine="987"/>
        <w:spacing w:after="0" w:line="235" w:lineRule="auto"/>
        <w:tabs>
          <w:tab w:leader="none" w:pos="1210" w:val="left"/>
        </w:tabs>
        <w:numPr>
          <w:ilvl w:val="2"/>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Non-Exempt Award vests in the ordinary course during the Participant’s Continuous Service in accordance with the vesting schedule set forth in the Award Agreement, and does not accelerate vesting under the terms of a Non-Exempt Severance Arrangement, in no event will the shares be issued in respect of such Non-Exempt Award any later than the later of: (i) December 31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of the calendar year that includes the applicable vesting date; or (ii) the 60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that follows the applicable vesting date.</w:t>
      </w:r>
    </w:p>
    <w:p>
      <w:pPr>
        <w:spacing w:after="0" w:line="1" w:lineRule="exact"/>
        <w:rPr>
          <w:rFonts w:ascii="Times New Roman" w:cs="Times New Roman" w:eastAsia="Times New Roman" w:hAnsi="Times New Roman"/>
          <w:sz w:val="18"/>
          <w:szCs w:val="18"/>
          <w:b w:val="1"/>
          <w:bCs w:val="1"/>
          <w:color w:val="auto"/>
        </w:rPr>
      </w:pPr>
    </w:p>
    <w:p>
      <w:pPr>
        <w:ind w:left="4" w:right="80" w:firstLine="987"/>
        <w:spacing w:after="0" w:line="232" w:lineRule="auto"/>
        <w:tabs>
          <w:tab w:leader="none" w:pos="1260" w:val="left"/>
        </w:tabs>
        <w:numPr>
          <w:ilvl w:val="2"/>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vesting of the Non-Exempt Award accelerates under the terms of a Non-Exempt Severance Arrangement in connection with the Participant’s Separation from Service, and such vesting acceleration provisions were in effect as of the date of grant of the Non-Exempt Award and, therefore, are part of the terms of such Non-Exempt Award as of the date of grant, then the shares will be earlier issued in settlement of such Non-Exempt Award upon the Participant’s Separation from Service in accordance with the terms of the Non-Exempt Severance Arrangement, but in no event later than the 60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that follows the date of the Participant’s Separation from Service. However, if at the time the shares would otherwise be issued the Participant is subject to the distribution limitations contained in Section 409A applicable to “specified employees,” as defined in</w:t>
      </w:r>
    </w:p>
    <w:p>
      <w:pPr>
        <w:spacing w:after="0" w:line="4" w:lineRule="exact"/>
        <w:rPr>
          <w:rFonts w:ascii="Times New Roman" w:cs="Times New Roman" w:eastAsia="Times New Roman" w:hAnsi="Times New Roman"/>
          <w:sz w:val="18"/>
          <w:szCs w:val="18"/>
          <w:b w:val="1"/>
          <w:bCs w:val="1"/>
          <w:color w:val="auto"/>
        </w:rPr>
      </w:pPr>
    </w:p>
    <w:p>
      <w:pPr>
        <w:ind w:left="4" w:right="72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409A(a)(2)(B)(i) of the Code, such shares shall not be issued before the date that is six months following the date of such Participant’s Separation from Service, or, if earlier, the date of the Participant’s death that occurs within such six-month period.</w:t>
      </w:r>
    </w:p>
    <w:p>
      <w:pPr>
        <w:spacing w:after="0" w:line="73" w:lineRule="exact"/>
        <w:rPr>
          <w:rFonts w:ascii="Times New Roman" w:cs="Times New Roman" w:eastAsia="Times New Roman" w:hAnsi="Times New Roman"/>
          <w:sz w:val="18"/>
          <w:szCs w:val="18"/>
          <w:b w:val="1"/>
          <w:bCs w:val="1"/>
          <w:color w:val="auto"/>
        </w:rPr>
      </w:pPr>
    </w:p>
    <w:p>
      <w:pPr>
        <w:ind w:left="4" w:firstLine="987"/>
        <w:spacing w:after="0" w:line="255" w:lineRule="auto"/>
        <w:tabs>
          <w:tab w:leader="none" w:pos="1310" w:val="left"/>
        </w:tabs>
        <w:numPr>
          <w:ilvl w:val="2"/>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vesting of a Non-Exempt Award accelerates under the terms of a Non-Exempt Severance Arrangement in connection with a Participant’s Separation from Service, and such vesting acceleration provisions were not in effect as of the date of grant of the Non-Exempt Award and, therefore, are not a part of the terms of such Non-Exempt Award on the date of grant, then such acceleration of vesting of the Non-Exempt Award shall not accelerate the issuance date of the shares, but the shares shall instead be issued on the same schedule as set forth in the Grant Notice as if they had vested in the ordinary course during the Participant’s Continuous Service, notwithstanding the vesting acceleration of the Non-Exempt Award. Such issuance schedule is intended to satisfy the requirements of payment on a specified date or pursuant to a fixed schedule, as provided under U.S. Treasury Regulations Section 1.409A-3(a)(4).</w:t>
      </w:r>
    </w:p>
    <w:p>
      <w:pPr>
        <w:spacing w:after="0" w:line="76" w:lineRule="exact"/>
        <w:rPr>
          <w:rFonts w:ascii="Times New Roman" w:cs="Times New Roman" w:eastAsia="Times New Roman" w:hAnsi="Times New Roman"/>
          <w:sz w:val="18"/>
          <w:szCs w:val="18"/>
          <w:b w:val="1"/>
          <w:bCs w:val="1"/>
          <w:color w:val="auto"/>
        </w:rPr>
      </w:pPr>
    </w:p>
    <w:p>
      <w:pPr>
        <w:ind w:left="684" w:hanging="244"/>
        <w:spacing w:after="0"/>
        <w:tabs>
          <w:tab w:leader="none" w:pos="684"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Treatment of Non-Exempt Awards Upon a Corporate Transaction for Employees and Consultants. </w:t>
      </w:r>
      <w:r>
        <w:rPr>
          <w:rFonts w:ascii="Times New Roman" w:cs="Times New Roman" w:eastAsia="Times New Roman" w:hAnsi="Times New Roman"/>
          <w:sz w:val="18"/>
          <w:szCs w:val="18"/>
          <w:color w:val="auto"/>
        </w:rPr>
        <w:t>The provisions of this subsection</w:t>
      </w:r>
    </w:p>
    <w:p>
      <w:pPr>
        <w:spacing w:after="0" w:line="31" w:lineRule="exact"/>
        <w:rPr>
          <w:rFonts w:ascii="Times New Roman" w:cs="Times New Roman" w:eastAsia="Times New Roman" w:hAnsi="Times New Roman"/>
          <w:sz w:val="18"/>
          <w:szCs w:val="18"/>
          <w:b w:val="1"/>
          <w:bCs w:val="1"/>
          <w:color w:val="auto"/>
        </w:rPr>
      </w:pPr>
    </w:p>
    <w:p>
      <w:pPr>
        <w:ind w:left="4" w:right="180" w:hanging="4"/>
        <w:spacing w:after="0" w:line="255" w:lineRule="auto"/>
        <w:tabs>
          <w:tab w:leader="none" w:pos="24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apply and shall supersede anything to the contrary set forth in the Plan with respect to the permitted treatment of any Non-Exempt Award in connection with a Corporate Transaction if the Participant was either an Employee or Consultant upon the applicable date of grant of the Non-Exempt Award.</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4"/>
          </w:cols>
          <w:pgMar w:left="436" w:top="266" w:right="479" w:bottom="1440" w:gutter="0" w:footer="0" w:header="0"/>
        </w:sectPr>
      </w:pPr>
    </w:p>
    <w:bookmarkStart w:id="24" w:name="page25"/>
    <w:bookmarkEnd w:id="24"/>
    <w:p>
      <w:pPr>
        <w:ind w:left="1200" w:hanging="213"/>
        <w:spacing w:after="0"/>
        <w:tabs>
          <w:tab w:leader="none" w:pos="120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Vested Non-Exempt Awards. </w:t>
      </w:r>
      <w:r>
        <w:rPr>
          <w:rFonts w:ascii="Times New Roman" w:cs="Times New Roman" w:eastAsia="Times New Roman" w:hAnsi="Times New Roman"/>
          <w:sz w:val="18"/>
          <w:szCs w:val="18"/>
          <w:color w:val="auto"/>
        </w:rPr>
        <w:t>The following provisions shall apply to any Vested Non-Exempt Award in connection with a Corporate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w:t>
      </w:r>
    </w:p>
    <w:p>
      <w:pPr>
        <w:spacing w:after="0" w:line="99" w:lineRule="exact"/>
        <w:rPr>
          <w:sz w:val="20"/>
          <w:szCs w:val="20"/>
          <w:color w:val="auto"/>
        </w:rPr>
      </w:pPr>
    </w:p>
    <w:p>
      <w:pPr>
        <w:ind w:firstLine="1428"/>
        <w:spacing w:after="0" w:line="258" w:lineRule="auto"/>
        <w:tabs>
          <w:tab w:leader="none" w:pos="1687"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Corporate Transaction is also a Section 409A Change in Control then the Acquiring Entity may not assume, continue or substitute the Vested Non-Exempt Award. Upon the Section 409A Change in Control the settlement of the Vested Non-Exempt Award will automatically be accelerated and the shares will be immediately issued in respect of the Vested Non-Exempt Award. Alternatively, the Company may instead provide that the Participant will receive a cash settlement equal to the Fair Market Value of the shares that would otherwise be issued to the Participant upon the Section 409A Change in Control.</w:t>
      </w:r>
    </w:p>
    <w:p>
      <w:pPr>
        <w:spacing w:after="0" w:line="75" w:lineRule="exact"/>
        <w:rPr>
          <w:rFonts w:ascii="Times New Roman" w:cs="Times New Roman" w:eastAsia="Times New Roman" w:hAnsi="Times New Roman"/>
          <w:sz w:val="18"/>
          <w:szCs w:val="18"/>
          <w:b w:val="1"/>
          <w:bCs w:val="1"/>
          <w:color w:val="auto"/>
        </w:rPr>
      </w:pPr>
    </w:p>
    <w:p>
      <w:pPr>
        <w:ind w:right="140" w:firstLine="1428"/>
        <w:spacing w:after="0" w:line="256" w:lineRule="auto"/>
        <w:tabs>
          <w:tab w:leader="none" w:pos="1687"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Corporate Transaction is not also a Section 409A Change in Control, then the Acquiring Entity must either assume, continue or substitute each Vested Non-Exempt Award. The shares to be issued in respect of the 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the Fair Market Value of the shares made on the date of the Corporate Transaction.</w:t>
      </w:r>
    </w:p>
    <w:p>
      <w:pPr>
        <w:spacing w:after="0" w:line="75" w:lineRule="exact"/>
        <w:rPr>
          <w:rFonts w:ascii="Times New Roman" w:cs="Times New Roman" w:eastAsia="Times New Roman" w:hAnsi="Times New Roman"/>
          <w:sz w:val="18"/>
          <w:szCs w:val="18"/>
          <w:b w:val="1"/>
          <w:bCs w:val="1"/>
          <w:color w:val="auto"/>
        </w:rPr>
      </w:pPr>
    </w:p>
    <w:p>
      <w:pPr>
        <w:ind w:right="700" w:firstLine="987"/>
        <w:spacing w:after="0" w:line="286" w:lineRule="auto"/>
        <w:tabs>
          <w:tab w:leader="none" w:pos="1256"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Unvested Non-Exempt Awards. </w:t>
      </w:r>
      <w:r>
        <w:rPr>
          <w:rFonts w:ascii="Times New Roman" w:cs="Times New Roman" w:eastAsia="Times New Roman" w:hAnsi="Times New Roman"/>
          <w:sz w:val="18"/>
          <w:szCs w:val="18"/>
          <w:color w:val="auto"/>
        </w:rPr>
        <w:t>The following provisions shall apply to any Unvested Non-Exempt Award unless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the Board pursuant to subsection (e) of this Section.</w:t>
      </w:r>
    </w:p>
    <w:p>
      <w:pPr>
        <w:spacing w:after="0" w:line="50" w:lineRule="exact"/>
        <w:rPr>
          <w:rFonts w:ascii="Times New Roman" w:cs="Times New Roman" w:eastAsia="Times New Roman" w:hAnsi="Times New Roman"/>
          <w:sz w:val="18"/>
          <w:szCs w:val="18"/>
          <w:b w:val="1"/>
          <w:bCs w:val="1"/>
          <w:color w:val="auto"/>
        </w:rPr>
      </w:pPr>
    </w:p>
    <w:p>
      <w:pPr>
        <w:ind w:right="80" w:firstLine="1428"/>
        <w:spacing w:after="0" w:line="255" w:lineRule="auto"/>
        <w:tabs>
          <w:tab w:leader="none" w:pos="1687" w:val="left"/>
        </w:tabs>
        <w:numPr>
          <w:ilvl w:val="1"/>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of a Corporate Transaction, the Acquiring Entity shall assume, continue or substitute any Unvested Non-Exempt Award. Unless otherwise determined by the Board, any Unvested Non-Exempt Award will remain subject to the same vesting and forfeiture restrictions that were applicable to the Award prior to the Corporate Transaction. The shares to be issued in respect of any Unvested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of the shares made on the date of the Corporate Transaction.</w:t>
      </w:r>
    </w:p>
    <w:p>
      <w:pPr>
        <w:spacing w:after="0" w:line="80" w:lineRule="exact"/>
        <w:rPr>
          <w:rFonts w:ascii="Times New Roman" w:cs="Times New Roman" w:eastAsia="Times New Roman" w:hAnsi="Times New Roman"/>
          <w:sz w:val="18"/>
          <w:szCs w:val="18"/>
          <w:b w:val="1"/>
          <w:bCs w:val="1"/>
          <w:color w:val="auto"/>
        </w:rPr>
      </w:pPr>
    </w:p>
    <w:p>
      <w:pPr>
        <w:ind w:right="20" w:firstLine="1428"/>
        <w:spacing w:after="0" w:line="254" w:lineRule="auto"/>
        <w:tabs>
          <w:tab w:leader="none" w:pos="1687" w:val="left"/>
        </w:tabs>
        <w:numPr>
          <w:ilvl w:val="1"/>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Acquiring Entity will not assume, substitute or continue any Unvested Non-Exempt Award in connection with a Corporate Transaction, then such Award shall automatically terminate and be forfeited upon the Corporate Transaction with no consideration payable to any Participant in respect of such forfeited Unvested Non-Exempt Award. Notwithstanding the foregoing, to the extent permitted and in compliance with the requirements of Section 409A, the Board may in its discretion determine to elect to accelerate the vesting and settlement of the Unvested Non-Exempt Award upon the Corporate Transaction, or instead substitute a cash payment equal to the Fair Market Value of such shares that would otherwise be issued to the Participant, as further provided in subsection (e)(ii) below. In the absence of such discretionary election by the Board, any Unvested Non-Exempt Award shall be forfeited without payment of any consideration to the affected Participants if the Acquiring Entity will not assume, substitute or continue the Unvested Non-Exempt Awards in connection with the Corporate Transaction.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66" w:right="459" w:bottom="1440" w:gutter="0" w:footer="0" w:header="0"/>
        </w:sectPr>
      </w:pPr>
    </w:p>
    <w:bookmarkStart w:id="25" w:name="page26"/>
    <w:bookmarkEnd w:id="25"/>
    <w:p>
      <w:pPr>
        <w:ind w:left="-20" w:right="420" w:firstLine="1428"/>
        <w:spacing w:after="0" w:line="282" w:lineRule="auto"/>
        <w:tabs>
          <w:tab w:leader="none" w:pos="1667" w:val="left"/>
        </w:tabs>
        <w:numPr>
          <w:ilvl w:val="2"/>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foregoing treatment shall apply with respect to all Unvested Non-Exempt Awards upon any Corporate Transaction, and regardless of whether or not such Corporate Transaction is also a Section 409A Change in Control.</w:t>
      </w:r>
    </w:p>
    <w:p>
      <w:pPr>
        <w:spacing w:after="0" w:line="49" w:lineRule="exact"/>
        <w:rPr>
          <w:rFonts w:ascii="Times New Roman" w:cs="Times New Roman" w:eastAsia="Times New Roman" w:hAnsi="Times New Roman"/>
          <w:sz w:val="18"/>
          <w:szCs w:val="18"/>
          <w:b w:val="1"/>
          <w:bCs w:val="1"/>
          <w:color w:val="auto"/>
        </w:rPr>
      </w:pPr>
    </w:p>
    <w:p>
      <w:pPr>
        <w:ind w:left="-20" w:right="460" w:firstLine="436"/>
        <w:spacing w:after="0" w:line="268" w:lineRule="auto"/>
        <w:tabs>
          <w:tab w:leader="none" w:pos="685"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Treatment of Non-Exempt Awards Upon a Corporate Transaction for Non-Employee Directors. </w:t>
      </w:r>
      <w:r>
        <w:rPr>
          <w:rFonts w:ascii="Times New Roman" w:cs="Times New Roman" w:eastAsia="Times New Roman" w:hAnsi="Times New Roman"/>
          <w:sz w:val="18"/>
          <w:szCs w:val="18"/>
          <w:color w:val="auto"/>
        </w:rPr>
        <w:t>The following provisions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subsection (d) shall apply and shall supersede anything to the contrary that may be set forth in the Plan with respect to the permitted treatment of a Non-Exempt Director Award in connection with a Corporate Transaction.</w:t>
      </w:r>
    </w:p>
    <w:p>
      <w:pPr>
        <w:spacing w:after="0" w:line="66" w:lineRule="exact"/>
        <w:rPr>
          <w:rFonts w:ascii="Times New Roman" w:cs="Times New Roman" w:eastAsia="Times New Roman" w:hAnsi="Times New Roman"/>
          <w:sz w:val="18"/>
          <w:szCs w:val="18"/>
          <w:b w:val="1"/>
          <w:bCs w:val="1"/>
          <w:color w:val="auto"/>
        </w:rPr>
      </w:pPr>
    </w:p>
    <w:p>
      <w:pPr>
        <w:ind w:left="-20" w:firstLine="987"/>
        <w:spacing w:after="0" w:line="258" w:lineRule="auto"/>
        <w:tabs>
          <w:tab w:leader="none" w:pos="1186"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Corporate Transaction is also a Section 409A Change in Control then the Acquiring Entity may not assume, continue or substitute the Non-Exempt Director Award. Upon the Section 409A Change in Control the vesting and settlement of any Non-Exempt Director Award will automatically be accelerated and the shares will be immediately issued to the Participant in respect of the Non-Exempt Director Award. Alternatively, the Company may provide that the Participant will instead receive a cash settlement equal to the Fair Market Value of the shares that would otherwise be issued to the Participant upon the Section 409A Change in Control pursuant to the preceding provision.</w:t>
      </w:r>
    </w:p>
    <w:p>
      <w:pPr>
        <w:spacing w:after="0" w:line="75" w:lineRule="exact"/>
        <w:rPr>
          <w:rFonts w:ascii="Times New Roman" w:cs="Times New Roman" w:eastAsia="Times New Roman" w:hAnsi="Times New Roman"/>
          <w:sz w:val="18"/>
          <w:szCs w:val="18"/>
          <w:b w:val="1"/>
          <w:bCs w:val="1"/>
          <w:color w:val="auto"/>
        </w:rPr>
      </w:pPr>
    </w:p>
    <w:p>
      <w:pPr>
        <w:ind w:left="-20" w:right="20" w:firstLine="987"/>
        <w:spacing w:after="0" w:line="255" w:lineRule="auto"/>
        <w:tabs>
          <w:tab w:leader="none" w:pos="1236"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Corporate Transaction is not also a Section 409A Change in Control, then the Acquiring Entity must either assume, continue or substitute the Non-Exempt Director Award. Unless otherwise determined by the Board, the Non-Exempt Director Award will remain subject to the same vesting and forfeiture restrictions that were applicable to the Award prior to the Corporate Transaction. The shares to be issued in respect of the Non-Exempt Director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made on the date of the Corporate Transaction.</w:t>
      </w:r>
    </w:p>
    <w:p>
      <w:pPr>
        <w:spacing w:after="0" w:line="80" w:lineRule="exact"/>
        <w:rPr>
          <w:rFonts w:ascii="Times New Roman" w:cs="Times New Roman" w:eastAsia="Times New Roman" w:hAnsi="Times New Roman"/>
          <w:sz w:val="18"/>
          <w:szCs w:val="18"/>
          <w:b w:val="1"/>
          <w:bCs w:val="1"/>
          <w:color w:val="auto"/>
        </w:rPr>
      </w:pPr>
    </w:p>
    <w:p>
      <w:pPr>
        <w:ind w:left="-20" w:right="320" w:firstLine="436"/>
        <w:spacing w:after="0" w:line="282" w:lineRule="auto"/>
        <w:tabs>
          <w:tab w:leader="none" w:pos="665"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RSU Award is a Non-Exempt Award, then the provisions in this Section 11(e) shall apply and supersede anything to the contrary that may be set forth in the Plan or the Award Agreement with respect to the permitted treatment of such Non-Exempt Award:</w:t>
      </w:r>
    </w:p>
    <w:p>
      <w:pPr>
        <w:spacing w:after="0" w:line="53" w:lineRule="exact"/>
        <w:rPr>
          <w:rFonts w:ascii="Times New Roman" w:cs="Times New Roman" w:eastAsia="Times New Roman" w:hAnsi="Times New Roman"/>
          <w:sz w:val="18"/>
          <w:szCs w:val="18"/>
          <w:b w:val="1"/>
          <w:bCs w:val="1"/>
          <w:color w:val="auto"/>
        </w:rPr>
      </w:pPr>
    </w:p>
    <w:p>
      <w:pPr>
        <w:ind w:left="-20" w:right="380" w:firstLine="987"/>
        <w:spacing w:after="0" w:line="266" w:lineRule="auto"/>
        <w:tabs>
          <w:tab w:leader="none" w:pos="1186"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exercise by the Board of discretion to accelerate the vesting of a Non-Exempt Award shall not result in any acceleration of the scheduled issuance dates for the shares in respect of the Non-Exempt Award unless earlier issuance of the shares upon the applicable vesting dates would be in compliance with the requirements of Section 409A.</w:t>
      </w:r>
    </w:p>
    <w:p>
      <w:pPr>
        <w:spacing w:after="0" w:line="67" w:lineRule="exact"/>
        <w:rPr>
          <w:rFonts w:ascii="Times New Roman" w:cs="Times New Roman" w:eastAsia="Times New Roman" w:hAnsi="Times New Roman"/>
          <w:sz w:val="18"/>
          <w:szCs w:val="18"/>
          <w:b w:val="1"/>
          <w:bCs w:val="1"/>
          <w:color w:val="auto"/>
        </w:rPr>
      </w:pPr>
    </w:p>
    <w:p>
      <w:pPr>
        <w:ind w:left="-20" w:right="140" w:firstLine="987"/>
        <w:spacing w:after="0" w:line="282" w:lineRule="auto"/>
        <w:tabs>
          <w:tab w:leader="none" w:pos="1236"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explicitly reserves the right to earlier settle any Non-Exempt Award to the extent permitted and in compliance with the requirements of Section 409A, including pursuant to any of the exemptions available in U.S. Treasury Regulations Section 1.409A-3(j)(4)(ix).</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0"/>
          </w:cols>
          <w:pgMar w:left="460" w:top="270" w:right="459" w:bottom="1440" w:gutter="0" w:footer="0" w:header="0"/>
        </w:sectPr>
      </w:pPr>
    </w:p>
    <w:bookmarkStart w:id="26" w:name="page27"/>
    <w:bookmarkEnd w:id="26"/>
    <w:p>
      <w:pPr>
        <w:ind w:left="4" w:firstLine="987"/>
        <w:spacing w:after="0" w:line="272" w:lineRule="auto"/>
        <w:tabs>
          <w:tab w:leader="none" w:pos="1310" w:val="left"/>
        </w:tabs>
        <w:numPr>
          <w:ilvl w:val="1"/>
          <w:numId w:val="4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extent the terms of any Non-Exempt Award provide that it will be settled upon a Change in Control or Corporate Transaction, to the extent it is required for compliance with the requirements of Section 409A, the Change in Control or Corporate Transaction event triggering settlement must also constitute a Section 409A Change in Control. To the extent the terms of a Non-Exempt Award provide that it will be settled upon a termination of employment or termination of Continuous Service, to the extent it is required for compliance with the requirements of Section 409A, the termination event triggering settlement must also constitute a Separation From Service. However, if at the time the shares would otherwise be issued to a Participant in connection with a “separation from service” such Participant is subject to the distribution limitations contained in Section 409A applicable to “specified employees,” as defined in Section 409A(a)(2)(B)(i) of the Code, such shares shall not be issued before the date that is six months following the date of the Participant’s Separation From Service, or, if earlier, the date of the Participant’s death that occurs within such six month period.</w:t>
      </w:r>
    </w:p>
    <w:p>
      <w:pPr>
        <w:spacing w:after="0" w:line="63" w:lineRule="exact"/>
        <w:rPr>
          <w:rFonts w:ascii="Times New Roman" w:cs="Times New Roman" w:eastAsia="Times New Roman" w:hAnsi="Times New Roman"/>
          <w:sz w:val="17"/>
          <w:szCs w:val="17"/>
          <w:b w:val="1"/>
          <w:bCs w:val="1"/>
          <w:color w:val="auto"/>
        </w:rPr>
      </w:pPr>
    </w:p>
    <w:p>
      <w:pPr>
        <w:ind w:left="4" w:right="60" w:firstLine="987"/>
        <w:spacing w:after="0" w:line="266" w:lineRule="auto"/>
        <w:tabs>
          <w:tab w:leader="none" w:pos="1300" w:val="left"/>
        </w:tabs>
        <w:numPr>
          <w:ilvl w:val="1"/>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provisions in this subsection (e) for delivery of the shares in respect of the settlement of an RSU Award that is a Non-Exempt Award are intended to comply with the requirements of Section 409A so that the delivery of the shares to the Participant in respect of such Non-Exempt Award will not trigger the additional tax imposed under Section 409A, and any ambiguities herein will be so interpreted.</w:t>
      </w:r>
    </w:p>
    <w:p>
      <w:pPr>
        <w:spacing w:after="0" w:line="279" w:lineRule="exact"/>
        <w:rPr>
          <w:rFonts w:ascii="Times New Roman" w:cs="Times New Roman" w:eastAsia="Times New Roman" w:hAnsi="Times New Roman"/>
          <w:sz w:val="18"/>
          <w:szCs w:val="18"/>
          <w:b w:val="1"/>
          <w:bCs w:val="1"/>
          <w:color w:val="auto"/>
        </w:rPr>
      </w:pPr>
    </w:p>
    <w:p>
      <w:pPr>
        <w:ind w:left="264" w:hanging="264"/>
        <w:spacing w:after="0"/>
        <w:tabs>
          <w:tab w:leader="none" w:pos="264"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EVERABILITY</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284" w:lineRule="exact"/>
        <w:rPr>
          <w:sz w:val="20"/>
          <w:szCs w:val="20"/>
          <w:color w:val="auto"/>
        </w:rPr>
      </w:pPr>
    </w:p>
    <w:p>
      <w:pPr>
        <w:ind w:left="264" w:hanging="264"/>
        <w:spacing w:after="0"/>
        <w:tabs>
          <w:tab w:leader="none" w:pos="264"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ERMINATION OF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Board may suspend or terminate the Plan at any time. No Incentive Stock Options may be granted after the tenth anniversary of the earlier of:</w:t>
      </w:r>
    </w:p>
    <w:p>
      <w:pPr>
        <w:spacing w:after="0" w:line="27" w:lineRule="exact"/>
        <w:rPr>
          <w:sz w:val="20"/>
          <w:szCs w:val="20"/>
          <w:color w:val="auto"/>
        </w:rPr>
      </w:pPr>
    </w:p>
    <w:p>
      <w:pPr>
        <w:ind w:left="4" w:right="140" w:hanging="4"/>
        <w:spacing w:after="0" w:line="260" w:lineRule="auto"/>
        <w:tabs>
          <w:tab w:leader="none" w:pos="21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Date; or (ii) the date the Plan is approved by the Company’s stockholders. No Awards may be granted under the Plan while the Plan is suspended or after it is terminated.</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4"/>
          </w:cols>
          <w:pgMar w:left="436" w:top="270" w:right="459" w:bottom="1440" w:gutter="0" w:footer="0" w:header="0"/>
        </w:sectPr>
      </w:pPr>
    </w:p>
    <w:bookmarkStart w:id="27" w:name="page28"/>
    <w:bookmarkEnd w:id="27"/>
    <w:p>
      <w:pPr>
        <w:ind w:left="264" w:hanging="264"/>
        <w:spacing w:after="0"/>
        <w:tabs>
          <w:tab w:leader="none" w:pos="264"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w:t>
      </w:r>
      <w:r>
        <w:rPr>
          <w:rFonts w:ascii="Times New Roman" w:cs="Times New Roman" w:eastAsia="Times New Roman" w:hAnsi="Times New Roman"/>
          <w:sz w:val="14"/>
          <w:szCs w:val="14"/>
          <w:b w:val="1"/>
          <w:bCs w:val="1"/>
          <w:color w:val="auto"/>
        </w:rPr>
        <w:t>EFINITIONS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As used in the Plan, the following definitions apply to the capitalized terms indicated below:</w:t>
      </w:r>
    </w:p>
    <w:p>
      <w:pPr>
        <w:spacing w:after="0" w:line="113" w:lineRule="exact"/>
        <w:rPr>
          <w:sz w:val="20"/>
          <w:szCs w:val="20"/>
          <w:color w:val="auto"/>
        </w:rPr>
      </w:pPr>
    </w:p>
    <w:p>
      <w:pPr>
        <w:ind w:left="704" w:hanging="264"/>
        <w:spacing w:after="0"/>
        <w:tabs>
          <w:tab w:leader="none" w:pos="704"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Acquiring Entity</w:t>
      </w:r>
      <w:r>
        <w:rPr>
          <w:rFonts w:ascii="Times New Roman" w:cs="Times New Roman" w:eastAsia="Times New Roman" w:hAnsi="Times New Roman"/>
          <w:sz w:val="18"/>
          <w:szCs w:val="18"/>
          <w:color w:val="auto"/>
        </w:rPr>
        <w:t>” means the surviving or acquiring corporation (or its parent company) in connection with a Corporate Transaction.</w:t>
      </w:r>
    </w:p>
    <w:p>
      <w:pPr>
        <w:spacing w:after="0" w:line="117" w:lineRule="exact"/>
        <w:rPr>
          <w:rFonts w:ascii="Times New Roman" w:cs="Times New Roman" w:eastAsia="Times New Roman" w:hAnsi="Times New Roman"/>
          <w:sz w:val="18"/>
          <w:szCs w:val="18"/>
          <w:b w:val="1"/>
          <w:bCs w:val="1"/>
          <w:color w:val="auto"/>
        </w:rPr>
      </w:pPr>
    </w:p>
    <w:p>
      <w:pPr>
        <w:ind w:left="704" w:hanging="264"/>
        <w:spacing w:after="0"/>
        <w:tabs>
          <w:tab w:leader="none" w:pos="704"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Adoption Date</w:t>
      </w:r>
      <w:r>
        <w:rPr>
          <w:rFonts w:ascii="Times New Roman" w:cs="Times New Roman" w:eastAsia="Times New Roman" w:hAnsi="Times New Roman"/>
          <w:sz w:val="18"/>
          <w:szCs w:val="18"/>
          <w:color w:val="auto"/>
        </w:rPr>
        <w:t>” means the date the Plan is first approved by the Board or Compensation Committee, as applicable.</w:t>
      </w:r>
    </w:p>
    <w:p>
      <w:pPr>
        <w:spacing w:after="0" w:line="117" w:lineRule="exact"/>
        <w:rPr>
          <w:rFonts w:ascii="Times New Roman" w:cs="Times New Roman" w:eastAsia="Times New Roman" w:hAnsi="Times New Roman"/>
          <w:sz w:val="18"/>
          <w:szCs w:val="18"/>
          <w:b w:val="1"/>
          <w:bCs w:val="1"/>
          <w:color w:val="auto"/>
        </w:rPr>
      </w:pPr>
    </w:p>
    <w:p>
      <w:pPr>
        <w:ind w:left="4" w:right="320" w:firstLine="436"/>
        <w:spacing w:after="0" w:line="268" w:lineRule="auto"/>
        <w:tabs>
          <w:tab w:leader="none" w:pos="689"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at the time of determination, any “parent” or “subsidiary” of the Company as such terms are defined in Rule 405 promulgated under the Securities Act. The Board may determine the time or times at which “parent” or “subsidiary” status is determined within the foregoing definition.</w:t>
      </w:r>
    </w:p>
    <w:p>
      <w:pPr>
        <w:spacing w:after="0" w:line="62" w:lineRule="exact"/>
        <w:rPr>
          <w:rFonts w:ascii="Times New Roman" w:cs="Times New Roman" w:eastAsia="Times New Roman" w:hAnsi="Times New Roman"/>
          <w:sz w:val="18"/>
          <w:szCs w:val="18"/>
          <w:b w:val="1"/>
          <w:bCs w:val="1"/>
          <w:color w:val="auto"/>
        </w:rPr>
      </w:pPr>
    </w:p>
    <w:p>
      <w:pPr>
        <w:ind w:left="4" w:right="200" w:firstLine="436"/>
        <w:spacing w:after="0" w:line="259" w:lineRule="auto"/>
        <w:tabs>
          <w:tab w:leader="none" w:pos="709"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Law</w:t>
      </w:r>
      <w:r>
        <w:rPr>
          <w:rFonts w:ascii="Times New Roman" w:cs="Times New Roman" w:eastAsia="Times New Roman" w:hAnsi="Times New Roman"/>
          <w:sz w:val="18"/>
          <w:szCs w:val="18"/>
          <w:color w:val="auto"/>
        </w:rPr>
        <w:t>” means the Code and any applicable U.S and non-U.S. securities, exchange, control, tax, federal, state,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w:t>
      </w:r>
    </w:p>
    <w:p>
      <w:pPr>
        <w:spacing w:after="0" w:line="71" w:lineRule="exact"/>
        <w:rPr>
          <w:rFonts w:ascii="Times New Roman" w:cs="Times New Roman" w:eastAsia="Times New Roman" w:hAnsi="Times New Roman"/>
          <w:sz w:val="18"/>
          <w:szCs w:val="18"/>
          <w:b w:val="1"/>
          <w:bCs w:val="1"/>
          <w:color w:val="auto"/>
        </w:rPr>
      </w:pPr>
    </w:p>
    <w:p>
      <w:pPr>
        <w:ind w:left="4" w:right="280" w:firstLine="436"/>
        <w:spacing w:after="0" w:line="286" w:lineRule="auto"/>
        <w:tabs>
          <w:tab w:leader="none" w:pos="689"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means any right to receive Common Stock, cash or other property granted under the Plan (including an Incentive Stock Option, a Nonstatutory Stock Option, a Restricted Stock Award, an RSU Award, a SAR, a Performance Award or any Other Award).</w:t>
      </w:r>
    </w:p>
    <w:p>
      <w:pPr>
        <w:spacing w:after="0" w:line="46" w:lineRule="exact"/>
        <w:rPr>
          <w:rFonts w:ascii="Times New Roman" w:cs="Times New Roman" w:eastAsia="Times New Roman" w:hAnsi="Times New Roman"/>
          <w:sz w:val="18"/>
          <w:szCs w:val="18"/>
          <w:b w:val="1"/>
          <w:bCs w:val="1"/>
          <w:color w:val="auto"/>
        </w:rPr>
      </w:pPr>
    </w:p>
    <w:p>
      <w:pPr>
        <w:ind w:left="4" w:right="120" w:firstLine="436"/>
        <w:spacing w:after="0" w:line="268" w:lineRule="auto"/>
        <w:tabs>
          <w:tab w:leader="none" w:pos="669"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means a written or electronic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including through electronic means, to a Participant along with the Grant Notice.</w:t>
      </w:r>
    </w:p>
    <w:p>
      <w:pPr>
        <w:spacing w:after="0" w:line="62" w:lineRule="exact"/>
        <w:rPr>
          <w:rFonts w:ascii="Times New Roman" w:cs="Times New Roman" w:eastAsia="Times New Roman" w:hAnsi="Times New Roman"/>
          <w:sz w:val="18"/>
          <w:szCs w:val="18"/>
          <w:b w:val="1"/>
          <w:bCs w:val="1"/>
          <w:color w:val="auto"/>
        </w:rPr>
      </w:pPr>
    </w:p>
    <w:p>
      <w:pPr>
        <w:ind w:left="4" w:firstLine="436"/>
        <w:spacing w:after="0" w:line="268" w:lineRule="auto"/>
        <w:tabs>
          <w:tab w:leader="none" w:pos="699"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w:t>
      </w:r>
    </w:p>
    <w:p>
      <w:pPr>
        <w:spacing w:after="0" w:line="62" w:lineRule="exact"/>
        <w:rPr>
          <w:rFonts w:ascii="Times New Roman" w:cs="Times New Roman" w:eastAsia="Times New Roman" w:hAnsi="Times New Roman"/>
          <w:sz w:val="18"/>
          <w:szCs w:val="18"/>
          <w:b w:val="1"/>
          <w:bCs w:val="1"/>
          <w:color w:val="auto"/>
        </w:rPr>
      </w:pPr>
    </w:p>
    <w:p>
      <w:pPr>
        <w:ind w:left="704" w:hanging="264"/>
        <w:spacing w:after="0"/>
        <w:tabs>
          <w:tab w:leader="none" w:pos="704"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Capital Stock</w:t>
      </w:r>
      <w:r>
        <w:rPr>
          <w:rFonts w:ascii="Times New Roman" w:cs="Times New Roman" w:eastAsia="Times New Roman" w:hAnsi="Times New Roman"/>
          <w:sz w:val="18"/>
          <w:szCs w:val="18"/>
          <w:color w:val="auto"/>
        </w:rPr>
        <w:t>” means each and every class of common stock of the Company, regardless of the number of votes per share.</w:t>
      </w:r>
    </w:p>
    <w:p>
      <w:pPr>
        <w:spacing w:after="0" w:line="117" w:lineRule="exact"/>
        <w:rPr>
          <w:rFonts w:ascii="Times New Roman" w:cs="Times New Roman" w:eastAsia="Times New Roman" w:hAnsi="Times New Roman"/>
          <w:sz w:val="18"/>
          <w:szCs w:val="18"/>
          <w:b w:val="1"/>
          <w:bCs w:val="1"/>
          <w:color w:val="auto"/>
        </w:rPr>
      </w:pPr>
    </w:p>
    <w:p>
      <w:pPr>
        <w:ind w:left="4" w:right="200" w:firstLine="436"/>
        <w:spacing w:after="0" w:line="262" w:lineRule="auto"/>
        <w:tabs>
          <w:tab w:leader="none" w:pos="659"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Capitalization Adjustment</w:t>
      </w:r>
      <w:r>
        <w:rPr>
          <w:rFonts w:ascii="Times New Roman" w:cs="Times New Roman" w:eastAsia="Times New Roman" w:hAnsi="Times New Roman"/>
          <w:sz w:val="18"/>
          <w:szCs w:val="18"/>
          <w:color w:val="auto"/>
        </w:rPr>
        <w:t>” means any change that is made in, or other events that occur with respect to, the Common Stock subject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or subject to any Award after the Adoption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w:t>
      </w:r>
    </w:p>
    <w:p>
      <w:pPr>
        <w:spacing w:after="0" w:line="113"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44"/>
          </w:cols>
          <w:pgMar w:left="436" w:top="266" w:right="519" w:bottom="1440" w:gutter="0" w:footer="0" w:header="0"/>
        </w:sectPr>
      </w:pPr>
    </w:p>
    <w:bookmarkStart w:id="28" w:name="page29"/>
    <w:bookmarkEnd w:id="28"/>
    <w:p>
      <w:pPr>
        <w:ind w:left="4"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64" w:lineRule="exact"/>
        <w:rPr>
          <w:sz w:val="20"/>
          <w:szCs w:val="20"/>
          <w:color w:val="auto"/>
        </w:rPr>
      </w:pPr>
    </w:p>
    <w:p>
      <w:pPr>
        <w:ind w:left="4" w:right="20" w:firstLine="436"/>
        <w:spacing w:after="0" w:line="272" w:lineRule="auto"/>
        <w:tabs>
          <w:tab w:leader="none" w:pos="669" w:val="left"/>
        </w:tabs>
        <w:numPr>
          <w:ilvl w:val="1"/>
          <w:numId w:val="5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Cause</w:t>
      </w:r>
      <w:r>
        <w:rPr>
          <w:rFonts w:ascii="Times New Roman" w:cs="Times New Roman" w:eastAsia="Times New Roman" w:hAnsi="Times New Roman"/>
          <w:sz w:val="17"/>
          <w:szCs w:val="17"/>
          <w:color w:val="auto"/>
        </w:rPr>
        <w:t>” has the meaning ascribed to such term in any written agreement between a Participant and the Company or any Affiliate of the Company defining such term and, in the absence of such agreement, such term means, with respect to a Participant, the occurrence of any of the following events: (i) the Participant’s dishonest statements or acts with respect to the Company or any Affiliate of the Company, or any current or prospective customers, suppliers, vendors or other third parties with which such entity does business; (ii) the Participant’s commission of (A) a felony or</w:t>
      </w:r>
    </w:p>
    <w:p>
      <w:pPr>
        <w:ind w:left="4" w:right="20" w:hanging="4"/>
        <w:spacing w:after="0" w:line="251" w:lineRule="auto"/>
        <w:tabs>
          <w:tab w:leader="none" w:pos="28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misdemeanor involving moral turpitude, deceit, dishonesty or fraud, or in each case the equivalent in any relevant jurisdiction; (iii) the Participant’s failure to perform the Participant’s assigned duties and responsibilities to the reasonable satisfaction of the Company or any Affiliate of the Company which failure continues, in the reasonable judgment of the Company, after written notice given to the Participant by the Company or any Affiliate of the Company; (iv) the Participant’s gross negligence, willful misconduct or insubordination with respect to the Company or any Affiliate of the Company; or (v) the Participant’s material violation of any provision of any agreement(s) between the Participant and the Company or any Affiliate of the Company relating to noncompetition, nonsolicitation, nondisclosure and/or assignment of inventions.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any Affiliate of the Company or such Participant for any other purpose.</w:t>
      </w:r>
    </w:p>
    <w:p>
      <w:pPr>
        <w:spacing w:after="0" w:line="80" w:lineRule="exact"/>
        <w:rPr>
          <w:rFonts w:ascii="Times New Roman" w:cs="Times New Roman" w:eastAsia="Times New Roman" w:hAnsi="Times New Roman"/>
          <w:sz w:val="18"/>
          <w:szCs w:val="18"/>
          <w:color w:val="auto"/>
        </w:rPr>
      </w:pPr>
    </w:p>
    <w:p>
      <w:pPr>
        <w:ind w:left="4" w:right="60" w:firstLine="436"/>
        <w:spacing w:after="0" w:line="286" w:lineRule="auto"/>
        <w:tabs>
          <w:tab w:leader="none" w:pos="709" w:val="left"/>
        </w:tabs>
        <w:numPr>
          <w:ilvl w:val="1"/>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means the occurrence, in a single transaction or in a series of related transactions, of any one or more of the following events:</w:t>
      </w:r>
    </w:p>
    <w:p>
      <w:pPr>
        <w:spacing w:after="0" w:line="50" w:lineRule="exact"/>
        <w:rPr>
          <w:rFonts w:ascii="Times New Roman" w:cs="Times New Roman" w:eastAsia="Times New Roman" w:hAnsi="Times New Roman"/>
          <w:sz w:val="18"/>
          <w:szCs w:val="18"/>
          <w:b w:val="1"/>
          <w:bCs w:val="1"/>
          <w:color w:val="auto"/>
        </w:rPr>
      </w:pPr>
    </w:p>
    <w:p>
      <w:pPr>
        <w:ind w:left="4" w:firstLine="987"/>
        <w:spacing w:after="0" w:line="253" w:lineRule="auto"/>
        <w:tabs>
          <w:tab w:leader="none" w:pos="1210" w:val="left"/>
        </w:tabs>
        <w:numPr>
          <w:ilvl w:val="2"/>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cs="Times New Roman" w:eastAsia="Times New Roman" w:hAnsi="Times New Roman"/>
          <w:sz w:val="18"/>
          <w:szCs w:val="18"/>
          <w:i w:val="1"/>
          <w:iCs w:val="1"/>
          <w:color w:val="auto"/>
        </w:rPr>
        <w:t>Subject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exceeds the designated percentage threshold of the outstanding voting securities as a result of a repurchase or other acquisition of voting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4"/>
          </w:cols>
          <w:pgMar w:left="436" w:top="270" w:right="459" w:bottom="1440" w:gutter="0" w:footer="0" w:header="0"/>
        </w:sectPr>
      </w:pPr>
    </w:p>
    <w:bookmarkStart w:id="29" w:name="page30"/>
    <w:bookmarkEnd w:id="29"/>
    <w:p>
      <w:pPr>
        <w:ind w:right="160" w:firstLine="987"/>
        <w:spacing w:after="0" w:line="256" w:lineRule="auto"/>
        <w:tabs>
          <w:tab w:leader="none" w:pos="1256"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Acquiring Entity in such merger, consolidation or similar transaction or (B) more than 50% of the combined outstanding voting power of the parent of the Acquiring Entity in such merger, consolidation or similar transaction, in each case in substantially the same proportions as their Ownership of the outstanding voting securities of the Company immediately prior to such transaction;</w:t>
      </w:r>
    </w:p>
    <w:p>
      <w:pPr>
        <w:spacing w:after="0" w:line="79" w:lineRule="exact"/>
        <w:rPr>
          <w:rFonts w:ascii="Times New Roman" w:cs="Times New Roman" w:eastAsia="Times New Roman" w:hAnsi="Times New Roman"/>
          <w:sz w:val="18"/>
          <w:szCs w:val="18"/>
          <w:b w:val="1"/>
          <w:bCs w:val="1"/>
          <w:color w:val="auto"/>
        </w:rPr>
      </w:pPr>
    </w:p>
    <w:p>
      <w:pPr>
        <w:ind w:right="120" w:firstLine="987"/>
        <w:spacing w:after="0" w:line="258" w:lineRule="auto"/>
        <w:tabs>
          <w:tab w:leader="none" w:pos="1306"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71" w:lineRule="exact"/>
        <w:rPr>
          <w:rFonts w:ascii="Times New Roman" w:cs="Times New Roman" w:eastAsia="Times New Roman" w:hAnsi="Times New Roman"/>
          <w:sz w:val="18"/>
          <w:szCs w:val="18"/>
          <w:b w:val="1"/>
          <w:bCs w:val="1"/>
          <w:color w:val="auto"/>
        </w:rPr>
      </w:pPr>
    </w:p>
    <w:p>
      <w:pPr>
        <w:ind w:right="20" w:firstLine="987"/>
        <w:spacing w:after="0" w:line="262" w:lineRule="auto"/>
        <w:tabs>
          <w:tab w:leader="none" w:pos="1296"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individuals who, on the Adoption Date, are members of the Board (the “</w:t>
      </w:r>
      <w:r>
        <w:rPr>
          <w:rFonts w:ascii="Times New Roman" w:cs="Times New Roman" w:eastAsia="Times New Roman" w:hAnsi="Times New Roman"/>
          <w:sz w:val="18"/>
          <w:szCs w:val="18"/>
          <w:b w:val="1"/>
          <w:bCs w:val="1"/>
          <w:i w:val="1"/>
          <w:iCs w:val="1"/>
          <w:color w:val="auto"/>
        </w:rPr>
        <w:t>Incumbent Board</w:t>
      </w:r>
      <w:r>
        <w:rPr>
          <w:rFonts w:ascii="Times New Roman" w:cs="Times New Roman" w:eastAsia="Times New Roman" w:hAnsi="Times New Roman"/>
          <w:sz w:val="18"/>
          <w:szCs w:val="18"/>
          <w:color w:val="auto"/>
        </w:rPr>
        <w:t>”)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spacing w:after="0" w:line="180"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Notwithstanding the foregoing or any other provision of this Plan, (A) the term Change in Control shall not include a sale of assets, merger or other transaction effected exclusively for the purpose of changing the domicile of the Company, (B) the definition of Change in Control (or any analogous term) in an individual written agreement between the Company or any Affiliate and the Participant shall supersede the foregoing definition with respect to Awards subject to such agreement; provided, however, that if no definition of Change in Control or any analogous term is set forth in such an individual written agreement, the foregoing definition shall apply, and (C) with respect to any nonqualified deferred compensation that becomes payable on account of the Change in Control, the transaction or event described in clause (i), (ii), (iii), or (iv) also constitutes a Section 409A Change in Control if required in order for the payment not to violate Section 409A of the Code.</w:t>
      </w:r>
    </w:p>
    <w:p>
      <w:pPr>
        <w:spacing w:after="0" w:line="77" w:lineRule="exact"/>
        <w:rPr>
          <w:sz w:val="20"/>
          <w:szCs w:val="20"/>
          <w:color w:val="auto"/>
        </w:rPr>
      </w:pPr>
    </w:p>
    <w:p>
      <w:pPr>
        <w:ind w:left="660" w:hanging="224"/>
        <w:spacing w:after="0"/>
        <w:tabs>
          <w:tab w:leader="none" w:pos="6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U.S. Internal Revenue Code of 1986, as amended, including any applicable regulations and guidance thereunder.</w:t>
      </w:r>
    </w:p>
    <w:p>
      <w:pPr>
        <w:spacing w:after="0" w:line="117" w:lineRule="exact"/>
        <w:rPr>
          <w:rFonts w:ascii="Times New Roman" w:cs="Times New Roman" w:eastAsia="Times New Roman" w:hAnsi="Times New Roman"/>
          <w:sz w:val="18"/>
          <w:szCs w:val="18"/>
          <w:b w:val="1"/>
          <w:bCs w:val="1"/>
          <w:color w:val="auto"/>
        </w:rPr>
      </w:pPr>
    </w:p>
    <w:p>
      <w:pPr>
        <w:ind w:right="120" w:firstLine="436"/>
        <w:spacing w:after="0" w:line="286" w:lineRule="auto"/>
        <w:tabs>
          <w:tab w:leader="none" w:pos="755"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the Compensation Committee and any other committee of one or more Directors to whom authority has been delegated by the Board or Compensation Committee in accordance with the Plan.</w:t>
      </w:r>
    </w:p>
    <w:p>
      <w:pPr>
        <w:spacing w:after="0" w:line="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60"/>
          </w:cols>
          <w:pgMar w:left="440" w:top="270" w:right="499" w:bottom="1440" w:gutter="0" w:footer="0" w:header="0"/>
        </w:sectPr>
      </w:pPr>
    </w:p>
    <w:bookmarkStart w:id="30" w:name="page31"/>
    <w:bookmarkEnd w:id="30"/>
    <w:p>
      <w:pPr>
        <w:ind w:left="700" w:hanging="264"/>
        <w:spacing w:after="0"/>
        <w:tabs>
          <w:tab w:leader="none" w:pos="70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common stock of the Company.</w:t>
      </w:r>
    </w:p>
    <w:p>
      <w:pPr>
        <w:spacing w:after="0" w:line="117" w:lineRule="exact"/>
        <w:rPr>
          <w:rFonts w:ascii="Times New Roman" w:cs="Times New Roman" w:eastAsia="Times New Roman" w:hAnsi="Times New Roman"/>
          <w:sz w:val="18"/>
          <w:szCs w:val="18"/>
          <w:b w:val="1"/>
          <w:bCs w:val="1"/>
          <w:color w:val="auto"/>
        </w:rPr>
      </w:pPr>
    </w:p>
    <w:p>
      <w:pPr>
        <w:ind w:right="480" w:firstLine="436"/>
        <w:spacing w:after="0" w:line="286" w:lineRule="auto"/>
        <w:tabs>
          <w:tab w:leader="none" w:pos="695"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Ikena Oncology, Inc., a Delaware corporation, and as of the Effective Date, shall mean ImageneBio, Inc., a Delaware corporation, and any successor corporation thereto.</w:t>
      </w:r>
    </w:p>
    <w:p>
      <w:pPr>
        <w:spacing w:after="0" w:line="46" w:lineRule="exact"/>
        <w:rPr>
          <w:rFonts w:ascii="Times New Roman" w:cs="Times New Roman" w:eastAsia="Times New Roman" w:hAnsi="Times New Roman"/>
          <w:sz w:val="18"/>
          <w:szCs w:val="18"/>
          <w:b w:val="1"/>
          <w:bCs w:val="1"/>
          <w:color w:val="auto"/>
        </w:rPr>
      </w:pPr>
    </w:p>
    <w:p>
      <w:pPr>
        <w:ind w:left="700" w:hanging="264"/>
        <w:spacing w:after="0"/>
        <w:tabs>
          <w:tab w:leader="none" w:pos="70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Compensation Committee</w:t>
      </w:r>
      <w:r>
        <w:rPr>
          <w:rFonts w:ascii="Times New Roman" w:cs="Times New Roman" w:eastAsia="Times New Roman" w:hAnsi="Times New Roman"/>
          <w:sz w:val="18"/>
          <w:szCs w:val="18"/>
          <w:color w:val="auto"/>
        </w:rPr>
        <w:t>” means the Compensation Committee of the Board.</w:t>
      </w:r>
    </w:p>
    <w:p>
      <w:pPr>
        <w:spacing w:after="0" w:line="117" w:lineRule="exact"/>
        <w:rPr>
          <w:rFonts w:ascii="Times New Roman" w:cs="Times New Roman" w:eastAsia="Times New Roman" w:hAnsi="Times New Roman"/>
          <w:sz w:val="18"/>
          <w:szCs w:val="18"/>
          <w:b w:val="1"/>
          <w:bCs w:val="1"/>
          <w:color w:val="auto"/>
        </w:rPr>
      </w:pPr>
    </w:p>
    <w:p>
      <w:pPr>
        <w:ind w:right="80" w:firstLine="436"/>
        <w:spacing w:after="0" w:line="259" w:lineRule="auto"/>
        <w:tabs>
          <w:tab w:leader="none" w:pos="705"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71" w:lineRule="exact"/>
        <w:rPr>
          <w:rFonts w:ascii="Times New Roman" w:cs="Times New Roman" w:eastAsia="Times New Roman" w:hAnsi="Times New Roman"/>
          <w:sz w:val="18"/>
          <w:szCs w:val="18"/>
          <w:b w:val="1"/>
          <w:bCs w:val="1"/>
          <w:color w:val="auto"/>
        </w:rPr>
      </w:pPr>
    </w:p>
    <w:p>
      <w:pPr>
        <w:ind w:firstLine="436"/>
        <w:spacing w:after="0" w:line="253" w:lineRule="auto"/>
        <w:tabs>
          <w:tab w:leader="none" w:pos="685"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Continuous Service</w:t>
      </w:r>
      <w:r>
        <w:rPr>
          <w:rFonts w:ascii="Times New Roman" w:cs="Times New Roman" w:eastAsia="Times New Roman" w:hAnsi="Times New Roman"/>
          <w:sz w:val="18"/>
          <w:szCs w:val="18"/>
          <w:color w:val="auto"/>
        </w:rPr>
        <w:t>”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Applicable Law, the Board or the chief executive officer of the Company, in that party’s sole discretion, may determine whether Continuous Service will be considered interrupted in the case of (i) any leave of absence approved by the Company or an Affiliate,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Applicable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U.S. Treasury Regulation Section 1.409A-1(h) (without regard to any alternative definition thereunder).</w:t>
      </w:r>
    </w:p>
    <w:p>
      <w:pPr>
        <w:spacing w:after="0" w:line="75" w:lineRule="exact"/>
        <w:rPr>
          <w:rFonts w:ascii="Times New Roman" w:cs="Times New Roman" w:eastAsia="Times New Roman" w:hAnsi="Times New Roman"/>
          <w:sz w:val="18"/>
          <w:szCs w:val="18"/>
          <w:b w:val="1"/>
          <w:bCs w:val="1"/>
          <w:color w:val="auto"/>
        </w:rPr>
      </w:pPr>
    </w:p>
    <w:p>
      <w:pPr>
        <w:ind w:left="680" w:hanging="244"/>
        <w:spacing w:after="0"/>
        <w:tabs>
          <w:tab w:leader="none" w:pos="68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Convertible Preferred Stock</w:t>
      </w:r>
      <w:r>
        <w:rPr>
          <w:rFonts w:ascii="Times New Roman" w:cs="Times New Roman" w:eastAsia="Times New Roman" w:hAnsi="Times New Roman"/>
          <w:sz w:val="18"/>
          <w:szCs w:val="18"/>
          <w:color w:val="auto"/>
        </w:rPr>
        <w:t>” means the preferred stock of the Company that is convertible into shares of Capital Stock.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0"/>
          </w:cols>
          <w:pgMar w:left="440" w:top="266" w:right="439" w:bottom="1440" w:gutter="0" w:footer="0" w:header="0"/>
        </w:sectPr>
      </w:pPr>
    </w:p>
    <w:bookmarkStart w:id="31" w:name="page32"/>
    <w:bookmarkEnd w:id="31"/>
    <w:p>
      <w:pPr>
        <w:ind w:right="460" w:firstLine="436"/>
        <w:spacing w:after="0" w:line="286" w:lineRule="auto"/>
        <w:tabs>
          <w:tab w:leader="none" w:pos="665"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Corporate Transaction</w:t>
      </w:r>
      <w:r>
        <w:rPr>
          <w:rFonts w:ascii="Times New Roman" w:cs="Times New Roman" w:eastAsia="Times New Roman" w:hAnsi="Times New Roman"/>
          <w:sz w:val="18"/>
          <w:szCs w:val="18"/>
          <w:color w:val="auto"/>
        </w:rPr>
        <w:t>” means the consummation, in a single transaction or in a series of related transactions, of any one or more of the following events:</w:t>
      </w:r>
    </w:p>
    <w:p>
      <w:pPr>
        <w:spacing w:after="0" w:line="50" w:lineRule="exact"/>
        <w:rPr>
          <w:rFonts w:ascii="Times New Roman" w:cs="Times New Roman" w:eastAsia="Times New Roman" w:hAnsi="Times New Roman"/>
          <w:sz w:val="18"/>
          <w:szCs w:val="18"/>
          <w:b w:val="1"/>
          <w:bCs w:val="1"/>
          <w:color w:val="auto"/>
        </w:rPr>
      </w:pPr>
    </w:p>
    <w:p>
      <w:pPr>
        <w:ind w:left="1200" w:hanging="213"/>
        <w:spacing w:after="0"/>
        <w:tabs>
          <w:tab w:leader="none" w:pos="1200" w:val="left"/>
        </w:tabs>
        <w:numPr>
          <w:ilvl w:val="1"/>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all or substantially all, as determined by the Board, of the consolidated assets of the Company and its</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Subsidiaries;</w:t>
      </w:r>
    </w:p>
    <w:p>
      <w:pPr>
        <w:spacing w:after="0" w:line="98" w:lineRule="exact"/>
        <w:rPr>
          <w:rFonts w:ascii="Times New Roman" w:cs="Times New Roman" w:eastAsia="Times New Roman" w:hAnsi="Times New Roman"/>
          <w:sz w:val="18"/>
          <w:szCs w:val="18"/>
          <w:b w:val="1"/>
          <w:bCs w:val="1"/>
          <w:color w:val="auto"/>
        </w:rPr>
      </w:pPr>
    </w:p>
    <w:p>
      <w:pPr>
        <w:ind w:left="1260" w:hanging="273"/>
        <w:spacing w:after="0"/>
        <w:tabs>
          <w:tab w:leader="none" w:pos="1260" w:val="left"/>
        </w:tabs>
        <w:numPr>
          <w:ilvl w:val="1"/>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at least 50% of the outstanding securities of the Company;</w:t>
      </w:r>
    </w:p>
    <w:p>
      <w:pPr>
        <w:spacing w:after="0" w:line="117" w:lineRule="exact"/>
        <w:rPr>
          <w:rFonts w:ascii="Times New Roman" w:cs="Times New Roman" w:eastAsia="Times New Roman" w:hAnsi="Times New Roman"/>
          <w:sz w:val="18"/>
          <w:szCs w:val="18"/>
          <w:b w:val="1"/>
          <w:bCs w:val="1"/>
          <w:color w:val="auto"/>
        </w:rPr>
      </w:pPr>
    </w:p>
    <w:p>
      <w:pPr>
        <w:ind w:left="1300" w:hanging="313"/>
        <w:spacing w:after="0"/>
        <w:tabs>
          <w:tab w:leader="none" w:pos="1300" w:val="left"/>
        </w:tabs>
        <w:numPr>
          <w:ilvl w:val="1"/>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following which the Company is not the surviving corporation; or</w:t>
      </w:r>
    </w:p>
    <w:p>
      <w:pPr>
        <w:spacing w:after="0" w:line="117" w:lineRule="exact"/>
        <w:rPr>
          <w:rFonts w:ascii="Times New Roman" w:cs="Times New Roman" w:eastAsia="Times New Roman" w:hAnsi="Times New Roman"/>
          <w:sz w:val="18"/>
          <w:szCs w:val="18"/>
          <w:b w:val="1"/>
          <w:bCs w:val="1"/>
          <w:color w:val="auto"/>
        </w:rPr>
      </w:pPr>
    </w:p>
    <w:p>
      <w:pPr>
        <w:ind w:right="260" w:firstLine="987"/>
        <w:spacing w:after="0" w:line="266" w:lineRule="auto"/>
        <w:tabs>
          <w:tab w:leader="none" w:pos="1296" w:val="left"/>
        </w:tabs>
        <w:numPr>
          <w:ilvl w:val="1"/>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76"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Notwithstanding the foregoing or any other provision of this Plan, (A) the term Corporate Transaction shall not include a sale of assets, merger or other transaction effected exclusively for the purpose of changing the domicile of the Company, (B) the definition of Corporate Transaction (or any analogous term) in an individual written agreement between the Company or any Affiliate and the Participant shall supersede the foregoing definition with respect to Awards subject to such agreement; provided, however, that if no definition of Corporate Transaction or any analogous term is set forth in such an individual written agreement, the foregoing definition shall apply, and (C) with respect to any nonqualified deferred compensation that becomes payable on account of the Corporate Transaction, the transaction or event described in clause (i), (ii), (iii), or (iv) also constitutes a Section 409A Change in Control if required in order for the payment not to violate Section 409A of the Code.</w:t>
      </w:r>
    </w:p>
    <w:p>
      <w:pPr>
        <w:spacing w:after="0" w:line="77" w:lineRule="exact"/>
        <w:rPr>
          <w:sz w:val="20"/>
          <w:szCs w:val="20"/>
          <w:color w:val="auto"/>
        </w:rPr>
      </w:pPr>
    </w:p>
    <w:p>
      <w:pPr>
        <w:ind w:left="700" w:hanging="264"/>
        <w:spacing w:after="0"/>
        <w:tabs>
          <w:tab w:leader="none" w:pos="70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determine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determined</w:t>
      </w:r>
      <w:r>
        <w:rPr>
          <w:rFonts w:ascii="Times New Roman" w:cs="Times New Roman" w:eastAsia="Times New Roman" w:hAnsi="Times New Roman"/>
          <w:sz w:val="18"/>
          <w:szCs w:val="18"/>
          <w:color w:val="auto"/>
        </w:rPr>
        <w:t>” means as determined by the Board or the Committee (or its designee) in its sole discretion.</w:t>
      </w:r>
    </w:p>
    <w:p>
      <w:pPr>
        <w:spacing w:after="0" w:line="117" w:lineRule="exact"/>
        <w:rPr>
          <w:rFonts w:ascii="Times New Roman" w:cs="Times New Roman" w:eastAsia="Times New Roman" w:hAnsi="Times New Roman"/>
          <w:sz w:val="18"/>
          <w:szCs w:val="18"/>
          <w:b w:val="1"/>
          <w:bCs w:val="1"/>
          <w:color w:val="auto"/>
        </w:rPr>
      </w:pPr>
    </w:p>
    <w:p>
      <w:pPr>
        <w:ind w:left="700" w:hanging="264"/>
        <w:spacing w:after="0"/>
        <w:tabs>
          <w:tab w:leader="none" w:pos="70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member of the Board.</w:t>
      </w:r>
    </w:p>
    <w:p>
      <w:pPr>
        <w:spacing w:after="0" w:line="117" w:lineRule="exact"/>
        <w:rPr>
          <w:rFonts w:ascii="Times New Roman" w:cs="Times New Roman" w:eastAsia="Times New Roman" w:hAnsi="Times New Roman"/>
          <w:sz w:val="18"/>
          <w:szCs w:val="18"/>
          <w:b w:val="1"/>
          <w:bCs w:val="1"/>
          <w:color w:val="auto"/>
        </w:rPr>
      </w:pPr>
    </w:p>
    <w:p>
      <w:pPr>
        <w:jc w:val="both"/>
        <w:ind w:right="400" w:firstLine="436"/>
        <w:spacing w:after="0" w:line="262" w:lineRule="auto"/>
        <w:tabs>
          <w:tab w:leader="none" w:pos="735"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w:t>
      </w:r>
    </w:p>
    <w:p>
      <w:pPr>
        <w:spacing w:after="0" w:line="68" w:lineRule="exact"/>
        <w:rPr>
          <w:rFonts w:ascii="Times New Roman" w:cs="Times New Roman" w:eastAsia="Times New Roman" w:hAnsi="Times New Roman"/>
          <w:sz w:val="18"/>
          <w:szCs w:val="18"/>
          <w:b w:val="1"/>
          <w:bCs w:val="1"/>
          <w:color w:val="auto"/>
        </w:rPr>
      </w:pPr>
    </w:p>
    <w:p>
      <w:pPr>
        <w:ind w:right="180" w:firstLine="436"/>
        <w:spacing w:after="0" w:line="259" w:lineRule="auto"/>
        <w:tabs>
          <w:tab w:leader="none" w:pos="695"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means the date of the closing of the transactions contemplated by that Agreement and Plan of Merger, dated December 23, 2024, between the Ikena Oncology, Inc., Insight Merger Sub I, an exempted company with limited liability incorporated and existing under the laws of the Cayman Islands and direct wholly owned subsidiary of Ikena Oncology, Inc., Insight Merger Sub II, an exempted company with limited liability incorporated and existing under the laws of the Cayman Islands and direct wholly owned subsidiary of Ikena Oncology, Inc., and Inmagene Biopharmaceuticals, an exempted company with limited liability incorporated and existing under the laws of the Cayman Islands.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20"/>
          </w:cols>
          <w:pgMar w:left="440" w:top="266" w:right="439" w:bottom="1440" w:gutter="0" w:footer="0" w:header="0"/>
        </w:sectPr>
      </w:pPr>
    </w:p>
    <w:bookmarkStart w:id="32" w:name="page33"/>
    <w:bookmarkEnd w:id="32"/>
    <w:p>
      <w:pPr>
        <w:ind w:left="-60" w:right="100" w:firstLine="436"/>
        <w:spacing w:after="0" w:line="286" w:lineRule="auto"/>
        <w:tabs>
          <w:tab w:leader="none" w:pos="635"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person employed by the Company or an Affiliate. However, service solely as a Director, or payment of a fee for such services, will not cause a Director to be considered an “Employee” for purposes of the Plan.</w:t>
      </w:r>
    </w:p>
    <w:p>
      <w:pPr>
        <w:spacing w:after="0" w:line="46" w:lineRule="exact"/>
        <w:rPr>
          <w:rFonts w:ascii="Times New Roman" w:cs="Times New Roman" w:eastAsia="Times New Roman" w:hAnsi="Times New Roman"/>
          <w:sz w:val="18"/>
          <w:szCs w:val="18"/>
          <w:b w:val="1"/>
          <w:bCs w:val="1"/>
          <w:color w:val="auto"/>
        </w:rPr>
      </w:pPr>
    </w:p>
    <w:p>
      <w:pPr>
        <w:ind w:left="620" w:hanging="244"/>
        <w:spacing w:after="0"/>
        <w:tabs>
          <w:tab w:leader="none" w:pos="62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Employer</w:t>
      </w:r>
      <w:r>
        <w:rPr>
          <w:rFonts w:ascii="Times New Roman" w:cs="Times New Roman" w:eastAsia="Times New Roman" w:hAnsi="Times New Roman"/>
          <w:sz w:val="18"/>
          <w:szCs w:val="18"/>
          <w:color w:val="auto"/>
        </w:rPr>
        <w:t>” means the Company or the Affiliate that employs the Participant.</w:t>
      </w:r>
    </w:p>
    <w:p>
      <w:pPr>
        <w:spacing w:after="0" w:line="117" w:lineRule="exact"/>
        <w:rPr>
          <w:sz w:val="20"/>
          <w:szCs w:val="20"/>
          <w:color w:val="auto"/>
        </w:rPr>
      </w:pPr>
    </w:p>
    <w:p>
      <w:pPr>
        <w:ind w:left="720" w:hanging="344"/>
        <w:spacing w:after="0"/>
        <w:tabs>
          <w:tab w:leader="none" w:pos="72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Entity</w:t>
      </w:r>
      <w:r>
        <w:rPr>
          <w:rFonts w:ascii="Times New Roman" w:cs="Times New Roman" w:eastAsia="Times New Roman" w:hAnsi="Times New Roman"/>
          <w:sz w:val="18"/>
          <w:szCs w:val="18"/>
          <w:color w:val="auto"/>
        </w:rPr>
        <w:t>” means a corporation, partnership, limited liability company or other entity.</w:t>
      </w:r>
    </w:p>
    <w:p>
      <w:pPr>
        <w:spacing w:after="0" w:line="117" w:lineRule="exact"/>
        <w:rPr>
          <w:rFonts w:ascii="Times New Roman" w:cs="Times New Roman" w:eastAsia="Times New Roman" w:hAnsi="Times New Roman"/>
          <w:sz w:val="18"/>
          <w:szCs w:val="18"/>
          <w:b w:val="1"/>
          <w:bCs w:val="1"/>
          <w:color w:val="auto"/>
        </w:rPr>
      </w:pPr>
    </w:p>
    <w:p>
      <w:pPr>
        <w:ind w:left="740" w:hanging="364"/>
        <w:spacing w:after="0"/>
        <w:tabs>
          <w:tab w:leader="none" w:pos="74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U.S. Securities Exchange Act of 1934, as amended, and the rules and regulations promulgated thereunder.</w:t>
      </w:r>
    </w:p>
    <w:p>
      <w:pPr>
        <w:spacing w:after="0" w:line="117" w:lineRule="exact"/>
        <w:rPr>
          <w:rFonts w:ascii="Times New Roman" w:cs="Times New Roman" w:eastAsia="Times New Roman" w:hAnsi="Times New Roman"/>
          <w:sz w:val="18"/>
          <w:szCs w:val="18"/>
          <w:b w:val="1"/>
          <w:bCs w:val="1"/>
          <w:color w:val="auto"/>
        </w:rPr>
      </w:pPr>
    </w:p>
    <w:p>
      <w:pPr>
        <w:ind w:left="-60" w:right="20" w:firstLine="436"/>
        <w:spacing w:after="0" w:line="255" w:lineRule="auto"/>
        <w:tabs>
          <w:tab w:leader="none" w:pos="705"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 Person</w:t>
      </w:r>
      <w:r>
        <w:rPr>
          <w:rFonts w:ascii="Times New Roman" w:cs="Times New Roman" w:eastAsia="Times New Roman" w:hAnsi="Times New Roman"/>
          <w:sz w:val="18"/>
          <w:szCs w:val="18"/>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76" w:lineRule="exact"/>
        <w:rPr>
          <w:rFonts w:ascii="Times New Roman" w:cs="Times New Roman" w:eastAsia="Times New Roman" w:hAnsi="Times New Roman"/>
          <w:sz w:val="18"/>
          <w:szCs w:val="18"/>
          <w:b w:val="1"/>
          <w:bCs w:val="1"/>
          <w:color w:val="auto"/>
        </w:rPr>
      </w:pPr>
    </w:p>
    <w:p>
      <w:pPr>
        <w:ind w:left="-60" w:right="80" w:firstLine="436"/>
        <w:spacing w:after="0" w:line="286" w:lineRule="auto"/>
        <w:tabs>
          <w:tab w:leader="none" w:pos="745"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date, unless otherwise determined by the Board, the value of the Common Stock (as determined on a per share or aggregate basis, as applicable) determined as follows:</w:t>
      </w:r>
    </w:p>
    <w:p>
      <w:pPr>
        <w:spacing w:after="0" w:line="50" w:lineRule="exact"/>
        <w:rPr>
          <w:rFonts w:ascii="Times New Roman" w:cs="Times New Roman" w:eastAsia="Times New Roman" w:hAnsi="Times New Roman"/>
          <w:sz w:val="18"/>
          <w:szCs w:val="18"/>
          <w:b w:val="1"/>
          <w:bCs w:val="1"/>
          <w:color w:val="auto"/>
        </w:rPr>
      </w:pPr>
    </w:p>
    <w:p>
      <w:pPr>
        <w:ind w:left="-60" w:firstLine="987"/>
        <w:spacing w:after="0" w:line="266" w:lineRule="auto"/>
        <w:tabs>
          <w:tab w:leader="none" w:pos="1146" w:val="left"/>
        </w:tabs>
        <w:numPr>
          <w:ilvl w:val="1"/>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w:t>
      </w:r>
    </w:p>
    <w:p>
      <w:pPr>
        <w:spacing w:after="0" w:line="67" w:lineRule="exact"/>
        <w:rPr>
          <w:rFonts w:ascii="Times New Roman" w:cs="Times New Roman" w:eastAsia="Times New Roman" w:hAnsi="Times New Roman"/>
          <w:sz w:val="18"/>
          <w:szCs w:val="18"/>
          <w:b w:val="1"/>
          <w:bCs w:val="1"/>
          <w:color w:val="auto"/>
        </w:rPr>
      </w:pPr>
    </w:p>
    <w:p>
      <w:pPr>
        <w:ind w:left="-60" w:right="280" w:firstLine="987"/>
        <w:spacing w:after="0" w:line="282" w:lineRule="auto"/>
        <w:tabs>
          <w:tab w:leader="none" w:pos="1196" w:val="left"/>
        </w:tabs>
        <w:numPr>
          <w:ilvl w:val="1"/>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there is no closing sales price for the Common Stock on the date of determination, then the Fair Market Value will be the closing selling price on the last preceding date for which such quotation exists.</w:t>
      </w:r>
    </w:p>
    <w:p>
      <w:pPr>
        <w:spacing w:after="0" w:line="53" w:lineRule="exact"/>
        <w:rPr>
          <w:rFonts w:ascii="Times New Roman" w:cs="Times New Roman" w:eastAsia="Times New Roman" w:hAnsi="Times New Roman"/>
          <w:sz w:val="18"/>
          <w:szCs w:val="18"/>
          <w:b w:val="1"/>
          <w:bCs w:val="1"/>
          <w:color w:val="auto"/>
        </w:rPr>
      </w:pPr>
    </w:p>
    <w:p>
      <w:pPr>
        <w:ind w:left="-60" w:right="580" w:firstLine="987"/>
        <w:spacing w:after="0" w:line="282" w:lineRule="auto"/>
        <w:tabs>
          <w:tab w:leader="none" w:pos="1246" w:val="left"/>
        </w:tabs>
        <w:numPr>
          <w:ilvl w:val="1"/>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absence of such markets for the Common Stock, or if otherwise determined by the Board, the Fair Market Value will be determined by the Board in good faith and in a manner that complies with Sections 409A and 422 of the Code.</w:t>
      </w:r>
    </w:p>
    <w:p>
      <w:pPr>
        <w:spacing w:after="0" w:line="49" w:lineRule="exact"/>
        <w:rPr>
          <w:rFonts w:ascii="Times New Roman" w:cs="Times New Roman" w:eastAsia="Times New Roman" w:hAnsi="Times New Roman"/>
          <w:sz w:val="18"/>
          <w:szCs w:val="18"/>
          <w:b w:val="1"/>
          <w:bCs w:val="1"/>
          <w:color w:val="auto"/>
        </w:rPr>
      </w:pPr>
    </w:p>
    <w:p>
      <w:pPr>
        <w:ind w:left="-60" w:right="100" w:firstLine="436"/>
        <w:spacing w:after="0" w:line="257" w:lineRule="auto"/>
        <w:tabs>
          <w:tab w:leader="none" w:pos="705"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Body</w:t>
      </w:r>
      <w:r>
        <w:rPr>
          <w:rFonts w:ascii="Times New Roman" w:cs="Times New Roman" w:eastAsia="Times New Roman" w:hAnsi="Times New Roman"/>
          <w:sz w:val="18"/>
          <w:szCs w:val="18"/>
          <w:color w:val="auto"/>
        </w:rPr>
        <w:t>” means any: (i) nation, state, commonwealth, canton, province, territory, county, municipality, district or other jurisdiction of any nature; (ii) U.S. or non-U.S. federal, state, local, municipal, or other government; (iii)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(iv) self-regulatory organization (including the Nasdaq Stock Market, New York Stock Exchange, and the Financial Industry Regulatory Authority).</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00"/>
          </w:cols>
          <w:pgMar w:left="500" w:top="266" w:right="499" w:bottom="1440" w:gutter="0" w:footer="0" w:header="0"/>
        </w:sectPr>
      </w:pPr>
    </w:p>
    <w:bookmarkStart w:id="33" w:name="page34"/>
    <w:bookmarkEnd w:id="33"/>
    <w:p>
      <w:pPr>
        <w:jc w:val="both"/>
        <w:ind w:left="4" w:right="140" w:firstLine="436"/>
        <w:spacing w:after="0" w:line="268" w:lineRule="auto"/>
        <w:tabs>
          <w:tab w:leader="none" w:pos="729" w:val="left"/>
        </w:tabs>
        <w:numPr>
          <w:ilvl w:val="1"/>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means the notice provided to a Participant that he or she has been granted an Award under the Plan and which includes the name of the Participant, the type of Award, the date of grant of the Award, number of shares of Common Stock subject to the Award or potential cash payment right, (if any), the vesting schedule for the Award (if any) and other key terms applicable to the Award.</w:t>
      </w:r>
    </w:p>
    <w:p>
      <w:pPr>
        <w:spacing w:after="0" w:line="62" w:lineRule="exact"/>
        <w:rPr>
          <w:rFonts w:ascii="Times New Roman" w:cs="Times New Roman" w:eastAsia="Times New Roman" w:hAnsi="Times New Roman"/>
          <w:sz w:val="18"/>
          <w:szCs w:val="18"/>
          <w:b w:val="1"/>
          <w:bCs w:val="1"/>
          <w:color w:val="auto"/>
        </w:rPr>
      </w:pPr>
    </w:p>
    <w:p>
      <w:pPr>
        <w:ind w:left="4" w:right="240" w:firstLine="436"/>
        <w:spacing w:after="0" w:line="286" w:lineRule="auto"/>
        <w:tabs>
          <w:tab w:leader="none" w:pos="789" w:val="left"/>
        </w:tabs>
        <w:numPr>
          <w:ilvl w:val="1"/>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 Stock Option</w:t>
      </w:r>
      <w:r>
        <w:rPr>
          <w:rFonts w:ascii="Times New Roman" w:cs="Times New Roman" w:eastAsia="Times New Roman" w:hAnsi="Times New Roman"/>
          <w:sz w:val="18"/>
          <w:szCs w:val="18"/>
          <w:color w:val="auto"/>
        </w:rPr>
        <w:t>” means an option granted pursuant to Section 4 of the Plan that is intended to be, and qualifies as, an “incentive stock option” within the meaning of Section 422 of the Code.</w:t>
      </w:r>
    </w:p>
    <w:p>
      <w:pPr>
        <w:spacing w:after="0" w:line="46" w:lineRule="exact"/>
        <w:rPr>
          <w:rFonts w:ascii="Times New Roman" w:cs="Times New Roman" w:eastAsia="Times New Roman" w:hAnsi="Times New Roman"/>
          <w:sz w:val="18"/>
          <w:szCs w:val="18"/>
          <w:b w:val="1"/>
          <w:bCs w:val="1"/>
          <w:color w:val="auto"/>
        </w:rPr>
      </w:pPr>
    </w:p>
    <w:p>
      <w:pPr>
        <w:ind w:left="4" w:firstLine="436"/>
        <w:spacing w:after="0" w:line="255" w:lineRule="auto"/>
        <w:tabs>
          <w:tab w:leader="none" w:pos="809" w:val="left"/>
        </w:tabs>
        <w:numPr>
          <w:ilvl w:val="1"/>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Materially Impair</w:t>
      </w:r>
      <w:r>
        <w:rPr>
          <w:rFonts w:ascii="Times New Roman" w:cs="Times New Roman" w:eastAsia="Times New Roman" w:hAnsi="Times New Roman"/>
          <w:sz w:val="18"/>
          <w:szCs w:val="18"/>
          <w:color w:val="auto"/>
        </w:rPr>
        <w:t>” 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or SAR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w:t>
      </w:r>
    </w:p>
    <w:p>
      <w:pPr>
        <w:spacing w:after="0" w:line="76" w:lineRule="exact"/>
        <w:rPr>
          <w:rFonts w:ascii="Times New Roman" w:cs="Times New Roman" w:eastAsia="Times New Roman" w:hAnsi="Times New Roman"/>
          <w:sz w:val="18"/>
          <w:szCs w:val="18"/>
          <w:b w:val="1"/>
          <w:bCs w:val="1"/>
          <w:color w:val="auto"/>
        </w:rPr>
      </w:pPr>
    </w:p>
    <w:p>
      <w:pPr>
        <w:ind w:left="4" w:right="40" w:firstLine="436"/>
        <w:spacing w:after="0" w:line="270" w:lineRule="auto"/>
        <w:tabs>
          <w:tab w:leader="none" w:pos="709" w:val="left"/>
        </w:tabs>
        <w:numPr>
          <w:ilvl w:val="1"/>
          <w:numId w:val="6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Non-Employee Director</w:t>
      </w:r>
      <w:r>
        <w:rPr>
          <w:rFonts w:ascii="Times New Roman" w:cs="Times New Roman" w:eastAsia="Times New Roman" w:hAnsi="Times New Roman"/>
          <w:sz w:val="17"/>
          <w:szCs w:val="17"/>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 w:cs="Times New Roman" w:eastAsia="Times New Roman" w:hAnsi="Times New Roman"/>
          <w:sz w:val="17"/>
          <w:szCs w:val="17"/>
          <w:b w:val="1"/>
          <w:bCs w:val="1"/>
          <w:i w:val="1"/>
          <w:iCs w:val="1"/>
          <w:color w:val="auto"/>
        </w:rPr>
        <w:t>Regulation S-K</w:t>
      </w:r>
      <w:r>
        <w:rPr>
          <w:rFonts w:ascii="Times New Roman" w:cs="Times New Roman" w:eastAsia="Times New Roman" w:hAnsi="Times New Roman"/>
          <w:sz w:val="17"/>
          <w:szCs w:val="17"/>
          <w:color w:val="auto"/>
        </w:rPr>
        <w:t>”)), does not possess an interest in any other transaction for which disclosure would be required under Item 404(a) of Regulation S-K, and is not engaged in a business relationship for which disclosure would be required pursuant to Item 404(b) of Regulation S-K; or</w:t>
      </w:r>
    </w:p>
    <w:p>
      <w:pPr>
        <w:spacing w:after="0" w:line="2" w:lineRule="exact"/>
        <w:rPr>
          <w:rFonts w:ascii="Times New Roman" w:cs="Times New Roman" w:eastAsia="Times New Roman" w:hAnsi="Times New Roman"/>
          <w:sz w:val="17"/>
          <w:szCs w:val="17"/>
          <w:b w:val="1"/>
          <w:bCs w:val="1"/>
          <w:color w:val="auto"/>
        </w:rPr>
      </w:pPr>
    </w:p>
    <w:p>
      <w:pPr>
        <w:ind w:left="264" w:hanging="264"/>
        <w:spacing w:after="0"/>
        <w:tabs>
          <w:tab w:leader="none" w:pos="26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otherwise considered a “non-employee director” for purposes of Rule 16b-3.</w:t>
      </w:r>
    </w:p>
    <w:p>
      <w:pPr>
        <w:spacing w:after="0" w:line="94" w:lineRule="exact"/>
        <w:rPr>
          <w:rFonts w:ascii="Times New Roman" w:cs="Times New Roman" w:eastAsia="Times New Roman" w:hAnsi="Times New Roman"/>
          <w:sz w:val="18"/>
          <w:szCs w:val="18"/>
          <w:color w:val="auto"/>
        </w:rPr>
      </w:pPr>
    </w:p>
    <w:p>
      <w:pPr>
        <w:ind w:left="4" w:right="40" w:firstLine="436"/>
        <w:spacing w:after="0" w:line="268" w:lineRule="auto"/>
        <w:tabs>
          <w:tab w:leader="none" w:pos="729" w:val="left"/>
        </w:tabs>
        <w:numPr>
          <w:ilvl w:val="1"/>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Non-Exempt Award</w:t>
      </w:r>
      <w:r>
        <w:rPr>
          <w:rFonts w:ascii="Times New Roman" w:cs="Times New Roman" w:eastAsia="Times New Roman" w:hAnsi="Times New Roman"/>
          <w:sz w:val="18"/>
          <w:szCs w:val="18"/>
          <w:color w:val="auto"/>
        </w:rPr>
        <w:t>” means any Award that is subject to, and not exempt from, Section 409A, including as the result of (i) a deferral of the issuance of the shares subject to the Award which is elected by the Participant or imposed by the Company, or (ii) the terms of any Non-Exempt Severance Arrangement.</w:t>
      </w:r>
    </w:p>
    <w:p>
      <w:pPr>
        <w:spacing w:after="0" w:line="62" w:lineRule="exact"/>
        <w:rPr>
          <w:rFonts w:ascii="Times New Roman" w:cs="Times New Roman" w:eastAsia="Times New Roman" w:hAnsi="Times New Roman"/>
          <w:sz w:val="18"/>
          <w:szCs w:val="18"/>
          <w:b w:val="1"/>
          <w:bCs w:val="1"/>
          <w:color w:val="auto"/>
        </w:rPr>
      </w:pPr>
    </w:p>
    <w:p>
      <w:pPr>
        <w:ind w:left="4" w:right="460" w:firstLine="436"/>
        <w:spacing w:after="0" w:line="286" w:lineRule="auto"/>
        <w:tabs>
          <w:tab w:leader="none" w:pos="809" w:val="left"/>
        </w:tabs>
        <w:numPr>
          <w:ilvl w:val="1"/>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Non-Exempt Director Award</w:t>
      </w:r>
      <w:r>
        <w:rPr>
          <w:rFonts w:ascii="Times New Roman" w:cs="Times New Roman" w:eastAsia="Times New Roman" w:hAnsi="Times New Roman"/>
          <w:sz w:val="18"/>
          <w:szCs w:val="18"/>
          <w:color w:val="auto"/>
        </w:rPr>
        <w:t>” means a Non-Exempt Award granted to a Participant who was a Director but not an Employee on the applicable grant date.</w:t>
      </w:r>
    </w:p>
    <w:p>
      <w:pPr>
        <w:spacing w:after="0" w:line="91" w:lineRule="exact"/>
        <w:rPr>
          <w:sz w:val="20"/>
          <w:szCs w:val="20"/>
          <w:color w:val="auto"/>
        </w:rPr>
      </w:pPr>
    </w:p>
    <w:p>
      <w:pPr>
        <w:jc w:val="center"/>
        <w:ind w:right="-14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884"/>
          </w:cols>
          <w:pgMar w:left="436" w:top="266" w:right="579" w:bottom="1440" w:gutter="0" w:footer="0" w:header="0"/>
        </w:sectPr>
      </w:pPr>
    </w:p>
    <w:bookmarkStart w:id="34" w:name="page35"/>
    <w:bookmarkEnd w:id="34"/>
    <w:p>
      <w:pPr>
        <w:ind w:firstLine="436"/>
        <w:spacing w:after="0" w:line="259" w:lineRule="auto"/>
        <w:tabs>
          <w:tab w:leader="none" w:pos="705"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Non-Exempt Severance Arrangement</w:t>
      </w:r>
      <w:r>
        <w:rPr>
          <w:rFonts w:ascii="Times New Roman" w:cs="Times New Roman" w:eastAsia="Times New Roman" w:hAnsi="Times New Roman"/>
          <w:sz w:val="18"/>
          <w:szCs w:val="18"/>
          <w:color w:val="auto"/>
        </w:rPr>
        <w:t>” means a severance arrangement or other agreement between the Participant and the Company that provides for acceleration of vesting of an Award and issuance of the shares in respect of such Award upon the Participant’s termination of employment or separation from service (as such term is defined in Section 409A(a)(2)(A)(i) of the Code (and without regard to any alternative definition thereunder)) (“</w:t>
      </w:r>
      <w:r>
        <w:rPr>
          <w:rFonts w:ascii="Times New Roman" w:cs="Times New Roman" w:eastAsia="Times New Roman" w:hAnsi="Times New Roman"/>
          <w:sz w:val="18"/>
          <w:szCs w:val="18"/>
          <w:b w:val="1"/>
          <w:bCs w:val="1"/>
          <w:i w:val="1"/>
          <w:iCs w:val="1"/>
          <w:color w:val="auto"/>
        </w:rPr>
        <w:t>Separation from Service</w:t>
      </w:r>
      <w:r>
        <w:rPr>
          <w:rFonts w:ascii="Times New Roman" w:cs="Times New Roman" w:eastAsia="Times New Roman" w:hAnsi="Times New Roman"/>
          <w:sz w:val="18"/>
          <w:szCs w:val="18"/>
          <w:color w:val="auto"/>
        </w:rPr>
        <w:t>”) and such severance benefit does not satisfy the requirements for an exemption from application of Section 409A provided under U.S. Treasury Regulations Section 1.409A-1(b)(4), 1.409A-1(b)(9) or otherwise.</w:t>
      </w:r>
    </w:p>
    <w:p>
      <w:pPr>
        <w:spacing w:after="0" w:line="71" w:lineRule="exact"/>
        <w:rPr>
          <w:rFonts w:ascii="Times New Roman" w:cs="Times New Roman" w:eastAsia="Times New Roman" w:hAnsi="Times New Roman"/>
          <w:sz w:val="18"/>
          <w:szCs w:val="18"/>
          <w:b w:val="1"/>
          <w:bCs w:val="1"/>
          <w:color w:val="auto"/>
        </w:rPr>
      </w:pPr>
    </w:p>
    <w:p>
      <w:pPr>
        <w:ind w:left="900" w:hanging="464"/>
        <w:spacing w:after="0"/>
        <w:tabs>
          <w:tab w:leader="none" w:pos="90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Nonstatutory Stock Option</w:t>
      </w:r>
      <w:r>
        <w:rPr>
          <w:rFonts w:ascii="Times New Roman" w:cs="Times New Roman" w:eastAsia="Times New Roman" w:hAnsi="Times New Roman"/>
          <w:sz w:val="18"/>
          <w:szCs w:val="18"/>
          <w:color w:val="auto"/>
        </w:rPr>
        <w:t>” means any option granted pursuant to Section 4 of the Plan that does not qualify as an Incentive Stock</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Option.</w:t>
      </w:r>
    </w:p>
    <w:p>
      <w:pPr>
        <w:spacing w:after="0" w:line="94" w:lineRule="exact"/>
        <w:rPr>
          <w:rFonts w:ascii="Times New Roman" w:cs="Times New Roman" w:eastAsia="Times New Roman" w:hAnsi="Times New Roman"/>
          <w:sz w:val="18"/>
          <w:szCs w:val="18"/>
          <w:b w:val="1"/>
          <w:bCs w:val="1"/>
          <w:color w:val="auto"/>
        </w:rPr>
      </w:pPr>
    </w:p>
    <w:p>
      <w:pPr>
        <w:ind w:left="800" w:hanging="364"/>
        <w:spacing w:after="0"/>
        <w:tabs>
          <w:tab w:leader="none" w:pos="80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w:t>
      </w:r>
    </w:p>
    <w:p>
      <w:pPr>
        <w:spacing w:after="0" w:line="117" w:lineRule="exact"/>
        <w:rPr>
          <w:rFonts w:ascii="Times New Roman" w:cs="Times New Roman" w:eastAsia="Times New Roman" w:hAnsi="Times New Roman"/>
          <w:sz w:val="18"/>
          <w:szCs w:val="18"/>
          <w:b w:val="1"/>
          <w:bCs w:val="1"/>
          <w:color w:val="auto"/>
        </w:rPr>
      </w:pPr>
    </w:p>
    <w:p>
      <w:pPr>
        <w:ind w:left="780" w:hanging="344"/>
        <w:spacing w:after="0"/>
        <w:tabs>
          <w:tab w:leader="none" w:pos="78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means an Incentive Stock Option or a Nonstatutory Stock Option to purchase shares of Common Stock granted pursuant to the</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Plan.</w:t>
      </w:r>
    </w:p>
    <w:p>
      <w:pPr>
        <w:spacing w:after="0" w:line="94" w:lineRule="exact"/>
        <w:rPr>
          <w:rFonts w:ascii="Times New Roman" w:cs="Times New Roman" w:eastAsia="Times New Roman" w:hAnsi="Times New Roman"/>
          <w:sz w:val="18"/>
          <w:szCs w:val="18"/>
          <w:b w:val="1"/>
          <w:bCs w:val="1"/>
          <w:color w:val="auto"/>
        </w:rPr>
      </w:pPr>
    </w:p>
    <w:p>
      <w:pPr>
        <w:ind w:right="220" w:firstLine="436"/>
        <w:spacing w:after="0" w:line="262" w:lineRule="auto"/>
        <w:tabs>
          <w:tab w:leader="none" w:pos="805"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 Agreement</w:t>
      </w:r>
      <w:r>
        <w:rPr>
          <w:rFonts w:ascii="Times New Roman" w:cs="Times New Roman" w:eastAsia="Times New Roman" w:hAnsi="Times New Roman"/>
          <w:sz w:val="18"/>
          <w:szCs w:val="18"/>
          <w:color w:val="auto"/>
        </w:rPr>
        <w:t>” means a written or electronic agreement between the Company and the Optionholder evidencing the terms and conditions of the Option grant. The Option Agreement includes the Grant Notice for the Option and the agreement containing the written summary of the general terms and conditions applicable to the Option and which is provided including through electronic means, to a Participant along with the Grant Notice. Each Option Agreement will be subject to the terms and conditions of the Plan.</w:t>
      </w:r>
    </w:p>
    <w:p>
      <w:pPr>
        <w:spacing w:after="0" w:line="68" w:lineRule="exact"/>
        <w:rPr>
          <w:rFonts w:ascii="Times New Roman" w:cs="Times New Roman" w:eastAsia="Times New Roman" w:hAnsi="Times New Roman"/>
          <w:sz w:val="18"/>
          <w:szCs w:val="18"/>
          <w:b w:val="1"/>
          <w:bCs w:val="1"/>
          <w:color w:val="auto"/>
        </w:rPr>
      </w:pPr>
    </w:p>
    <w:p>
      <w:pPr>
        <w:ind w:right="700" w:firstLine="436"/>
        <w:spacing w:after="0" w:line="286" w:lineRule="auto"/>
        <w:tabs>
          <w:tab w:leader="none" w:pos="805"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Optionholder</w:t>
      </w:r>
      <w:r>
        <w:rPr>
          <w:rFonts w:ascii="Times New Roman" w:cs="Times New Roman" w:eastAsia="Times New Roman" w:hAnsi="Times New Roman"/>
          <w:sz w:val="18"/>
          <w:szCs w:val="18"/>
          <w:color w:val="auto"/>
        </w:rPr>
        <w:t>” means a person to whom an Option is granted pursuant to the Plan or, if applicable, such other person who holds an outstanding Option.</w:t>
      </w:r>
    </w:p>
    <w:p>
      <w:pPr>
        <w:spacing w:after="0" w:line="46" w:lineRule="exact"/>
        <w:rPr>
          <w:rFonts w:ascii="Times New Roman" w:cs="Times New Roman" w:eastAsia="Times New Roman" w:hAnsi="Times New Roman"/>
          <w:sz w:val="18"/>
          <w:szCs w:val="18"/>
          <w:b w:val="1"/>
          <w:bCs w:val="1"/>
          <w:color w:val="auto"/>
        </w:rPr>
      </w:pPr>
    </w:p>
    <w:p>
      <w:pPr>
        <w:ind w:right="60" w:firstLine="436"/>
        <w:spacing w:after="0" w:line="268" w:lineRule="auto"/>
        <w:tabs>
          <w:tab w:leader="none" w:pos="765"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Award</w:t>
      </w:r>
      <w:r>
        <w:rPr>
          <w:rFonts w:ascii="Times New Roman" w:cs="Times New Roman" w:eastAsia="Times New Roman" w:hAnsi="Times New Roman"/>
          <w:sz w:val="18"/>
          <w:szCs w:val="18"/>
          <w:color w:val="auto"/>
        </w:rPr>
        <w:t>” means an award valued in whole or in part by reference to, or otherwise based on, Common Stock, including the appreciation in value thereof (e.g., options or stock rights with an exercise price or strike price less than 100% of the Fair Market Value at the time of grant) that is not an Incentive Stock Option, Nonstatutory Stock Option, SAR, Restricted Stock Award, RSU Award or Performance Award.</w:t>
      </w:r>
    </w:p>
    <w:p>
      <w:pPr>
        <w:spacing w:after="0" w:line="62" w:lineRule="exact"/>
        <w:rPr>
          <w:rFonts w:ascii="Times New Roman" w:cs="Times New Roman" w:eastAsia="Times New Roman" w:hAnsi="Times New Roman"/>
          <w:sz w:val="18"/>
          <w:szCs w:val="18"/>
          <w:b w:val="1"/>
          <w:bCs w:val="1"/>
          <w:color w:val="auto"/>
        </w:rPr>
      </w:pPr>
    </w:p>
    <w:p>
      <w:pPr>
        <w:ind w:right="300" w:firstLine="436"/>
        <w:spacing w:after="0" w:line="286" w:lineRule="auto"/>
        <w:tabs>
          <w:tab w:leader="none" w:pos="745"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Award Agreement</w:t>
      </w:r>
      <w:r>
        <w:rPr>
          <w:rFonts w:ascii="Times New Roman" w:cs="Times New Roman" w:eastAsia="Times New Roman" w:hAnsi="Times New Roman"/>
          <w:sz w:val="18"/>
          <w:szCs w:val="18"/>
          <w:color w:val="auto"/>
        </w:rPr>
        <w:t>” means a written or electronic agreement between the Company and a holder of an Other Award evidencing the terms and conditions of an Other Award grant. Each Other Award Agreement will be subject to the terms and conditions of the Plan.</w:t>
      </w:r>
    </w:p>
    <w:p>
      <w:pPr>
        <w:spacing w:after="0" w:line="46" w:lineRule="exact"/>
        <w:rPr>
          <w:rFonts w:ascii="Times New Roman" w:cs="Times New Roman" w:eastAsia="Times New Roman" w:hAnsi="Times New Roman"/>
          <w:sz w:val="18"/>
          <w:szCs w:val="18"/>
          <w:b w:val="1"/>
          <w:bCs w:val="1"/>
          <w:color w:val="auto"/>
        </w:rPr>
      </w:pPr>
    </w:p>
    <w:p>
      <w:pPr>
        <w:ind w:firstLine="436"/>
        <w:spacing w:after="0" w:line="268" w:lineRule="auto"/>
        <w:tabs>
          <w:tab w:leader="none" w:pos="725"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Own,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Ownership</w:t>
      </w:r>
      <w:r>
        <w:rPr>
          <w:rFonts w:ascii="Times New Roman" w:cs="Times New Roman" w:eastAsia="Times New Roman" w:hAnsi="Times New Roman"/>
          <w:sz w:val="18"/>
          <w:szCs w:val="18"/>
          <w:color w:val="auto"/>
        </w:rPr>
        <w:t>” 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62" w:lineRule="exact"/>
        <w:rPr>
          <w:rFonts w:ascii="Times New Roman" w:cs="Times New Roman" w:eastAsia="Times New Roman" w:hAnsi="Times New Roman"/>
          <w:sz w:val="18"/>
          <w:szCs w:val="18"/>
          <w:b w:val="1"/>
          <w:bCs w:val="1"/>
          <w:color w:val="auto"/>
        </w:rPr>
      </w:pPr>
    </w:p>
    <w:p>
      <w:pPr>
        <w:ind w:right="360" w:firstLine="436"/>
        <w:spacing w:after="0" w:line="286" w:lineRule="auto"/>
        <w:tabs>
          <w:tab w:leader="none" w:pos="805"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an Employee, Director or Consultant to whom an Award is granted pursuant to the Plan or, if applicable, such other person who holds an outstanding Award.</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66" w:right="459" w:bottom="1440" w:gutter="0" w:footer="0" w:header="0"/>
        </w:sectPr>
      </w:pPr>
    </w:p>
    <w:bookmarkStart w:id="35" w:name="page36"/>
    <w:bookmarkEnd w:id="35"/>
    <w:p>
      <w:pPr>
        <w:ind w:left="-20" w:right="120" w:firstLine="436"/>
        <w:spacing w:after="0" w:line="278" w:lineRule="auto"/>
        <w:tabs>
          <w:tab w:leader="none" w:pos="765" w:val="left"/>
        </w:tabs>
        <w:numPr>
          <w:ilvl w:val="0"/>
          <w:numId w:val="6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b w:val="1"/>
          <w:bCs w:val="1"/>
          <w:i w:val="1"/>
          <w:iCs w:val="1"/>
          <w:color w:val="auto"/>
        </w:rPr>
        <w:t>Performance Award</w:t>
      </w:r>
      <w:r>
        <w:rPr>
          <w:rFonts w:ascii="Times New Roman" w:cs="Times New Roman" w:eastAsia="Times New Roman" w:hAnsi="Times New Roman"/>
          <w:sz w:val="17"/>
          <w:szCs w:val="17"/>
          <w:color w:val="auto"/>
        </w:rPr>
        <w:t>” means an Award that may vest or may be exercised or a cash award that may vest or become earned and paid 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Common Stock.</w:t>
      </w:r>
    </w:p>
    <w:p>
      <w:pPr>
        <w:spacing w:after="0" w:line="55" w:lineRule="exact"/>
        <w:rPr>
          <w:rFonts w:ascii="Times New Roman" w:cs="Times New Roman" w:eastAsia="Times New Roman" w:hAnsi="Times New Roman"/>
          <w:sz w:val="17"/>
          <w:szCs w:val="17"/>
          <w:b w:val="1"/>
          <w:bCs w:val="1"/>
          <w:color w:val="auto"/>
        </w:rPr>
      </w:pPr>
    </w:p>
    <w:p>
      <w:pPr>
        <w:ind w:left="-20" w:firstLine="436"/>
        <w:spacing w:after="0" w:line="252" w:lineRule="auto"/>
        <w:tabs>
          <w:tab w:leader="none" w:pos="845"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Criteria</w:t>
      </w:r>
      <w:r>
        <w:rPr>
          <w:rFonts w:ascii="Times New Roman" w:cs="Times New Roman" w:eastAsia="Times New Roman" w:hAnsi="Times New Roman"/>
          <w:sz w:val="18"/>
          <w:szCs w:val="18"/>
          <w:color w:val="auto"/>
        </w:rPr>
        <w:t>” means one or more criteria that the Board will select for purposes of establishing the Performance Goals for a Performance Period. The Performance Criteria that will be used to establish such Performance Goals may be based on any one of, or combination of, the following as determined by the Board: earnings (including earnings per share and net earnings); earnings before interest, taxes and depreciation; earnings before interest, taxes, depreciation and amortization; total stockholder return; relative stockholder return; return on equity or average stockholder’s equity; return on assets, investment, or capital employed; stock price; margin (including gross margin); income (before or after taxes); operating income; operating income after taxes; pre-tax profit; operating cash flow; sales, annual recurring revenue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workforce diversity; growth of net income or operating income; billings; financing; regulatory milestones; stockholder liquidity; corporate governance and compliance; intellectual property; personnel matters; progress of internal research; progress of partnered programs; partner satisfaction; budget management; partner or collaborator achievements; internal controls, including those related to the U.S. Sarbanes-Oxley Act of 2002; investor relations, analysts and communication; implementation or completion of projects or processes; employee retention; number of users, including unique users; strategic partnerships or transactions (including in-licensing and out-licensing of intellectual property); establishing relationships with respect to the marketing, distribution and sale of the Company’s products; supply chain achievements; co-development, co-marketing, profit sharing, joint venture or other similar arrangements; individual performance goals; corporate development and planning goals; and other measures of performance selected by the Board or Committee whether or not listed herein.</w:t>
      </w:r>
    </w:p>
    <w:p>
      <w:pPr>
        <w:spacing w:after="0" w:line="86" w:lineRule="exact"/>
        <w:rPr>
          <w:rFonts w:ascii="Times New Roman" w:cs="Times New Roman" w:eastAsia="Times New Roman" w:hAnsi="Times New Roman"/>
          <w:sz w:val="18"/>
          <w:szCs w:val="18"/>
          <w:b w:val="1"/>
          <w:bCs w:val="1"/>
          <w:color w:val="auto"/>
        </w:rPr>
      </w:pPr>
    </w:p>
    <w:p>
      <w:pPr>
        <w:ind w:left="-20" w:right="60" w:firstLine="436"/>
        <w:spacing w:after="0" w:line="255" w:lineRule="auto"/>
        <w:tabs>
          <w:tab w:leader="none" w:pos="765"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Goals</w:t>
      </w:r>
      <w:r>
        <w:rPr>
          <w:rFonts w:ascii="Times New Roman" w:cs="Times New Roman" w:eastAsia="Times New Roman" w:hAnsi="Times New Roman"/>
          <w:sz w:val="18"/>
          <w:szCs w:val="18"/>
          <w:color w:val="auto"/>
        </w:rPr>
        <w:t>” means, for a Performance Period,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80"/>
          </w:cols>
          <w:pgMar w:left="460" w:top="266" w:right="459" w:bottom="1440" w:gutter="0" w:footer="0" w:header="0"/>
        </w:sectPr>
      </w:pPr>
    </w:p>
    <w:bookmarkStart w:id="36" w:name="page37"/>
    <w:bookmarkEnd w:id="36"/>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In addition, the Board may establish or provide for other adjustment items in the Award Agreement at the time the Award is granted or in such other document setting forth the Performance Goals at the time the Performance Goals are established.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Award.</w:t>
      </w:r>
    </w:p>
    <w:p>
      <w:pPr>
        <w:spacing w:after="0" w:line="75" w:lineRule="exact"/>
        <w:rPr>
          <w:sz w:val="20"/>
          <w:szCs w:val="20"/>
          <w:color w:val="auto"/>
        </w:rPr>
      </w:pPr>
    </w:p>
    <w:p>
      <w:pPr>
        <w:ind w:right="120" w:firstLine="436"/>
        <w:spacing w:after="0" w:line="268" w:lineRule="auto"/>
        <w:tabs>
          <w:tab w:leader="none" w:pos="785"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Period</w:t>
      </w:r>
      <w:r>
        <w:rPr>
          <w:rFonts w:ascii="Times New Roman" w:cs="Times New Roman" w:eastAsia="Times New Roman" w:hAnsi="Times New Roman"/>
          <w:sz w:val="18"/>
          <w:szCs w:val="18"/>
          <w:color w:val="auto"/>
        </w:rPr>
        <w:t>” means the period of time selected by the Board over which the attainment of one or more Performance Goals will be measured for the purpose of determining a Participant’s right to vesting or exercise of an Award. Performance Periods may be of varying and overlapping duration, at the sole discretion of the Board.</w:t>
      </w:r>
    </w:p>
    <w:p>
      <w:pPr>
        <w:spacing w:after="0" w:line="62" w:lineRule="exact"/>
        <w:rPr>
          <w:rFonts w:ascii="Times New Roman" w:cs="Times New Roman" w:eastAsia="Times New Roman" w:hAnsi="Times New Roman"/>
          <w:sz w:val="18"/>
          <w:szCs w:val="18"/>
          <w:b w:val="1"/>
          <w:bCs w:val="1"/>
          <w:color w:val="auto"/>
        </w:rPr>
      </w:pPr>
    </w:p>
    <w:p>
      <w:pPr>
        <w:ind w:left="760" w:hanging="324"/>
        <w:spacing w:after="0"/>
        <w:tabs>
          <w:tab w:leader="none" w:pos="76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Ikena Oncology, Inc. Amended and Restated 2025 Equity Incentive Plan, as amended from time to time.</w:t>
      </w:r>
    </w:p>
    <w:p>
      <w:pPr>
        <w:spacing w:after="0" w:line="117" w:lineRule="exact"/>
        <w:rPr>
          <w:sz w:val="20"/>
          <w:szCs w:val="20"/>
          <w:color w:val="auto"/>
        </w:rPr>
      </w:pPr>
    </w:p>
    <w:p>
      <w:pPr>
        <w:ind w:right="100" w:firstLine="436"/>
        <w:spacing w:after="0" w:line="286" w:lineRule="auto"/>
        <w:tabs>
          <w:tab w:leader="none" w:pos="875"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 Administrator</w:t>
      </w:r>
      <w:r>
        <w:rPr>
          <w:rFonts w:ascii="Times New Roman" w:cs="Times New Roman" w:eastAsia="Times New Roman" w:hAnsi="Times New Roman"/>
          <w:sz w:val="18"/>
          <w:szCs w:val="18"/>
          <w:color w:val="auto"/>
        </w:rPr>
        <w:t>” means the person, persons, and/or third-party administrator designated by the Company to administer the day-to-day operations of the Plan and the Company’s other equity incentive programs.</w:t>
      </w:r>
    </w:p>
    <w:p>
      <w:pPr>
        <w:spacing w:after="0" w:line="46" w:lineRule="exact"/>
        <w:rPr>
          <w:rFonts w:ascii="Times New Roman" w:cs="Times New Roman" w:eastAsia="Times New Roman" w:hAnsi="Times New Roman"/>
          <w:sz w:val="18"/>
          <w:szCs w:val="18"/>
          <w:b w:val="1"/>
          <w:bCs w:val="1"/>
          <w:color w:val="auto"/>
        </w:rPr>
      </w:pPr>
    </w:p>
    <w:p>
      <w:pPr>
        <w:ind w:right="60" w:firstLine="436"/>
        <w:spacing w:after="0" w:line="286" w:lineRule="auto"/>
        <w:tabs>
          <w:tab w:leader="none" w:pos="905"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Post-Termination Exercise Period</w:t>
      </w:r>
      <w:r>
        <w:rPr>
          <w:rFonts w:ascii="Times New Roman" w:cs="Times New Roman" w:eastAsia="Times New Roman" w:hAnsi="Times New Roman"/>
          <w:sz w:val="18"/>
          <w:szCs w:val="18"/>
          <w:color w:val="auto"/>
        </w:rPr>
        <w:t>” means the period following termination of a Participant’s Continuous Service within which an Option or SAR is exercisable, as specified in Section 4(h).</w:t>
      </w:r>
    </w:p>
    <w:p>
      <w:pPr>
        <w:spacing w:after="0" w:line="46" w:lineRule="exact"/>
        <w:rPr>
          <w:rFonts w:ascii="Times New Roman" w:cs="Times New Roman" w:eastAsia="Times New Roman" w:hAnsi="Times New Roman"/>
          <w:sz w:val="18"/>
          <w:szCs w:val="18"/>
          <w:b w:val="1"/>
          <w:bCs w:val="1"/>
          <w:color w:val="auto"/>
        </w:rPr>
      </w:pPr>
    </w:p>
    <w:p>
      <w:pPr>
        <w:ind w:right="620" w:firstLine="436"/>
        <w:spacing w:after="0" w:line="286" w:lineRule="auto"/>
        <w:tabs>
          <w:tab w:leader="none" w:pos="845"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Prefunded Warrants</w:t>
      </w:r>
      <w:r>
        <w:rPr>
          <w:rFonts w:ascii="Times New Roman" w:cs="Times New Roman" w:eastAsia="Times New Roman" w:hAnsi="Times New Roman"/>
          <w:sz w:val="18"/>
          <w:szCs w:val="18"/>
          <w:color w:val="auto"/>
        </w:rPr>
        <w:t>” means warrants to purchase shares of Common Stock where all but a nominal portion of the exercise price is prefunded by the purchasers of the warrants in connection with the sale and issuance of such warrants.</w:t>
      </w:r>
    </w:p>
    <w:p>
      <w:pPr>
        <w:spacing w:after="0" w:line="46" w:lineRule="exact"/>
        <w:rPr>
          <w:rFonts w:ascii="Times New Roman" w:cs="Times New Roman" w:eastAsia="Times New Roman" w:hAnsi="Times New Roman"/>
          <w:sz w:val="18"/>
          <w:szCs w:val="18"/>
          <w:b w:val="1"/>
          <w:bCs w:val="1"/>
          <w:color w:val="auto"/>
        </w:rPr>
      </w:pPr>
    </w:p>
    <w:p>
      <w:pPr>
        <w:ind w:left="900" w:hanging="464"/>
        <w:spacing w:after="0"/>
        <w:tabs>
          <w:tab w:leader="none" w:pos="90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Prior Plan</w:t>
      </w:r>
      <w:r>
        <w:rPr>
          <w:rFonts w:ascii="Times New Roman" w:cs="Times New Roman" w:eastAsia="Times New Roman" w:hAnsi="Times New Roman"/>
          <w:sz w:val="18"/>
          <w:szCs w:val="18"/>
          <w:color w:val="auto"/>
        </w:rPr>
        <w:t>” means the Ikena Oncology, Inc. 2021 Stock Option and Incentive Plan, as amended from time to time.</w:t>
      </w:r>
    </w:p>
    <w:p>
      <w:pPr>
        <w:spacing w:after="0" w:line="117" w:lineRule="exact"/>
        <w:rPr>
          <w:rFonts w:ascii="Times New Roman" w:cs="Times New Roman" w:eastAsia="Times New Roman" w:hAnsi="Times New Roman"/>
          <w:sz w:val="18"/>
          <w:szCs w:val="18"/>
          <w:b w:val="1"/>
          <w:bCs w:val="1"/>
          <w:color w:val="auto"/>
        </w:rPr>
      </w:pPr>
    </w:p>
    <w:p>
      <w:pPr>
        <w:ind w:left="840" w:hanging="404"/>
        <w:spacing w:after="0"/>
        <w:tabs>
          <w:tab w:leader="none" w:pos="84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means the document containing the Plan information specified in Section 10(a) of the Securities Act.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70" w:right="459" w:bottom="1440" w:gutter="0" w:footer="0" w:header="0"/>
        </w:sectPr>
      </w:pPr>
    </w:p>
    <w:bookmarkStart w:id="37" w:name="page38"/>
    <w:bookmarkEnd w:id="37"/>
    <w:p>
      <w:pPr>
        <w:ind w:right="180" w:firstLine="436"/>
        <w:spacing w:after="0" w:line="286" w:lineRule="auto"/>
        <w:tabs>
          <w:tab w:leader="none" w:pos="785"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Restricted Stock Award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RSA</w:t>
      </w:r>
      <w:r>
        <w:rPr>
          <w:rFonts w:ascii="Times New Roman" w:cs="Times New Roman" w:eastAsia="Times New Roman" w:hAnsi="Times New Roman"/>
          <w:sz w:val="18"/>
          <w:szCs w:val="18"/>
          <w:color w:val="auto"/>
        </w:rPr>
        <w:t>” means an Award of shares of Common Stock which is granted pursuant to the terms and conditions of Section 5(a).</w:t>
      </w:r>
    </w:p>
    <w:p>
      <w:pPr>
        <w:spacing w:after="0" w:line="46" w:lineRule="exact"/>
        <w:rPr>
          <w:rFonts w:ascii="Times New Roman" w:cs="Times New Roman" w:eastAsia="Times New Roman" w:hAnsi="Times New Roman"/>
          <w:sz w:val="18"/>
          <w:szCs w:val="18"/>
          <w:b w:val="1"/>
          <w:bCs w:val="1"/>
          <w:color w:val="auto"/>
        </w:rPr>
      </w:pPr>
    </w:p>
    <w:p>
      <w:pPr>
        <w:ind w:firstLine="436"/>
        <w:spacing w:after="0" w:line="259" w:lineRule="auto"/>
        <w:tabs>
          <w:tab w:leader="none" w:pos="875"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Award Agreement</w:t>
      </w:r>
      <w:r>
        <w:rPr>
          <w:rFonts w:ascii="Times New Roman" w:cs="Times New Roman" w:eastAsia="Times New Roman" w:hAnsi="Times New Roman"/>
          <w:sz w:val="18"/>
          <w:szCs w:val="18"/>
          <w:color w:val="auto"/>
        </w:rPr>
        <w:t>” means a written or electronic agreement between the Company and a holder of a Restricted Stock Award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including by electronic means, to a Participant along with the Grant Notice. Each Restricted Stock Award Agreement will be subject to the terms and conditions of the Plan.</w:t>
      </w:r>
    </w:p>
    <w:p>
      <w:pPr>
        <w:spacing w:after="0" w:line="71" w:lineRule="exact"/>
        <w:rPr>
          <w:rFonts w:ascii="Times New Roman" w:cs="Times New Roman" w:eastAsia="Times New Roman" w:hAnsi="Times New Roman"/>
          <w:sz w:val="18"/>
          <w:szCs w:val="18"/>
          <w:b w:val="1"/>
          <w:bCs w:val="1"/>
          <w:color w:val="auto"/>
        </w:rPr>
      </w:pPr>
    </w:p>
    <w:p>
      <w:pPr>
        <w:ind w:left="900" w:hanging="464"/>
        <w:spacing w:after="0"/>
        <w:tabs>
          <w:tab w:leader="none" w:pos="90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Returning Shares</w:t>
      </w:r>
      <w:r>
        <w:rPr>
          <w:rFonts w:ascii="Times New Roman" w:cs="Times New Roman" w:eastAsia="Times New Roman" w:hAnsi="Times New Roman"/>
          <w:sz w:val="18"/>
          <w:szCs w:val="18"/>
          <w:color w:val="auto"/>
        </w:rPr>
        <w:t>” means shares subject to outstanding stock awards granted under the Prior Plan and that following the Effective</w:t>
      </w:r>
    </w:p>
    <w:p>
      <w:pPr>
        <w:spacing w:after="0" w:line="3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Date: (A) are not issued because such stock award or any portion thereof expires or otherwise terminates without all of the shares covered by such stock award having been issued; (B) are not issued because such stock award or any portion thereof is settled in cash; (C) are forfeited back to or repurchased by the Company because of the failure to meet a contingency or condition required for the vesting of such shares; (D) are withheld or reacquired to satisfy the exercise, strike or purchase price; or (E) are withheld or reacquired to satisfy a tax withholding obligation.</w:t>
      </w:r>
    </w:p>
    <w:p>
      <w:pPr>
        <w:spacing w:after="0" w:line="77" w:lineRule="exact"/>
        <w:rPr>
          <w:sz w:val="20"/>
          <w:szCs w:val="20"/>
          <w:color w:val="auto"/>
        </w:rPr>
      </w:pPr>
    </w:p>
    <w:p>
      <w:pPr>
        <w:ind w:right="200" w:firstLine="436"/>
        <w:spacing w:after="0" w:line="286" w:lineRule="auto"/>
        <w:tabs>
          <w:tab w:leader="none" w:pos="755"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RSU Award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RSU</w:t>
      </w:r>
      <w:r>
        <w:rPr>
          <w:rFonts w:ascii="Times New Roman" w:cs="Times New Roman" w:eastAsia="Times New Roman" w:hAnsi="Times New Roman"/>
          <w:sz w:val="18"/>
          <w:szCs w:val="18"/>
          <w:color w:val="auto"/>
        </w:rPr>
        <w:t>” means an Award of restricted stock units representing the right to receive an issuance of shares of Common Stock which is granted pursuant to the terms and conditions of Section 5(a).</w:t>
      </w:r>
    </w:p>
    <w:p>
      <w:pPr>
        <w:spacing w:after="0" w:line="46" w:lineRule="exact"/>
        <w:rPr>
          <w:rFonts w:ascii="Times New Roman" w:cs="Times New Roman" w:eastAsia="Times New Roman" w:hAnsi="Times New Roman"/>
          <w:sz w:val="18"/>
          <w:szCs w:val="18"/>
          <w:b w:val="1"/>
          <w:bCs w:val="1"/>
          <w:color w:val="auto"/>
        </w:rPr>
      </w:pPr>
    </w:p>
    <w:p>
      <w:pPr>
        <w:ind w:right="120" w:firstLine="436"/>
        <w:spacing w:after="0" w:line="262" w:lineRule="auto"/>
        <w:tabs>
          <w:tab w:leader="none" w:pos="785"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RSU Award Agreement</w:t>
      </w:r>
      <w:r>
        <w:rPr>
          <w:rFonts w:ascii="Times New Roman" w:cs="Times New Roman" w:eastAsia="Times New Roman" w:hAnsi="Times New Roman"/>
          <w:sz w:val="18"/>
          <w:szCs w:val="18"/>
          <w:color w:val="auto"/>
        </w:rPr>
        <w:t>” means a written or electronic agreement between the Company and a holder of an RSU Award evidencing the terms and conditions of an RSU Award grant. The RSU Award Agreement includes the Grant Notice for the RSU Award and the agreement containing the written summary of the general terms and conditions applicable to the RSU Award and which is provided including by electronic means, to a Participant along with the Grant Notice. Each RSU Award Agreement will be subject to the terms and conditions of the Plan.</w:t>
      </w:r>
    </w:p>
    <w:p>
      <w:pPr>
        <w:spacing w:after="0" w:line="68" w:lineRule="exact"/>
        <w:rPr>
          <w:rFonts w:ascii="Times New Roman" w:cs="Times New Roman" w:eastAsia="Times New Roman" w:hAnsi="Times New Roman"/>
          <w:sz w:val="18"/>
          <w:szCs w:val="18"/>
          <w:b w:val="1"/>
          <w:bCs w:val="1"/>
          <w:color w:val="auto"/>
        </w:rPr>
      </w:pPr>
    </w:p>
    <w:p>
      <w:pPr>
        <w:ind w:left="900" w:hanging="464"/>
        <w:spacing w:after="0"/>
        <w:tabs>
          <w:tab w:leader="none" w:pos="90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16b-3</w:t>
      </w:r>
      <w:r>
        <w:rPr>
          <w:rFonts w:ascii="Times New Roman" w:cs="Times New Roman" w:eastAsia="Times New Roman" w:hAnsi="Times New Roman"/>
          <w:sz w:val="18"/>
          <w:szCs w:val="18"/>
          <w:color w:val="auto"/>
        </w:rPr>
        <w:t>” means Rule 16b-3 promulgated under the Exchange Act or any successor to Rule 16b-3, as in effect from time to time.</w:t>
      </w:r>
    </w:p>
    <w:p>
      <w:pPr>
        <w:spacing w:after="0" w:line="117" w:lineRule="exact"/>
        <w:rPr>
          <w:rFonts w:ascii="Times New Roman" w:cs="Times New Roman" w:eastAsia="Times New Roman" w:hAnsi="Times New Roman"/>
          <w:sz w:val="18"/>
          <w:szCs w:val="18"/>
          <w:b w:val="1"/>
          <w:bCs w:val="1"/>
          <w:color w:val="auto"/>
        </w:rPr>
      </w:pPr>
    </w:p>
    <w:p>
      <w:pPr>
        <w:ind w:left="760" w:hanging="324"/>
        <w:spacing w:after="0"/>
        <w:tabs>
          <w:tab w:leader="none" w:pos="76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405</w:t>
      </w:r>
      <w:r>
        <w:rPr>
          <w:rFonts w:ascii="Times New Roman" w:cs="Times New Roman" w:eastAsia="Times New Roman" w:hAnsi="Times New Roman"/>
          <w:sz w:val="18"/>
          <w:szCs w:val="18"/>
          <w:color w:val="auto"/>
        </w:rPr>
        <w:t>” means Rule 405 promulgated under the Securities Act.</w:t>
      </w:r>
    </w:p>
    <w:p>
      <w:pPr>
        <w:spacing w:after="0" w:line="117" w:lineRule="exact"/>
        <w:rPr>
          <w:rFonts w:ascii="Times New Roman" w:cs="Times New Roman" w:eastAsia="Times New Roman" w:hAnsi="Times New Roman"/>
          <w:sz w:val="18"/>
          <w:szCs w:val="18"/>
          <w:b w:val="1"/>
          <w:bCs w:val="1"/>
          <w:color w:val="auto"/>
        </w:rPr>
      </w:pPr>
    </w:p>
    <w:p>
      <w:pPr>
        <w:jc w:val="both"/>
        <w:ind w:right="100" w:firstLine="436"/>
        <w:spacing w:after="0" w:line="262" w:lineRule="auto"/>
        <w:tabs>
          <w:tab w:leader="none" w:pos="1055"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SAR Agreement</w:t>
      </w:r>
      <w:r>
        <w:rPr>
          <w:rFonts w:ascii="Times New Roman" w:cs="Times New Roman" w:eastAsia="Times New Roman" w:hAnsi="Times New Roman"/>
          <w:sz w:val="18"/>
          <w:szCs w:val="18"/>
          <w:color w:val="auto"/>
        </w:rPr>
        <w:t>” means a written or electronic agreement between the Company and a holder of a SAR evidencing the terms and conditions of a SAR grant. The SAR Agreement includes the Grant Notice for the SAR and the agreement containing the written summary of the general terms and conditions applicable to the SAR and which is provided, including by electronic means, to a Participant along with the Grant Notice. Each SAR Agreement will be subject to the terms and conditions of the Plan.</w:t>
      </w:r>
    </w:p>
    <w:p>
      <w:pPr>
        <w:spacing w:after="0" w:line="68" w:lineRule="exact"/>
        <w:rPr>
          <w:rFonts w:ascii="Times New Roman" w:cs="Times New Roman" w:eastAsia="Times New Roman" w:hAnsi="Times New Roman"/>
          <w:sz w:val="18"/>
          <w:szCs w:val="18"/>
          <w:b w:val="1"/>
          <w:bCs w:val="1"/>
          <w:color w:val="auto"/>
        </w:rPr>
      </w:pPr>
    </w:p>
    <w:p>
      <w:pPr>
        <w:ind w:left="900" w:hanging="464"/>
        <w:spacing w:after="0"/>
        <w:tabs>
          <w:tab w:leader="none" w:pos="90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means Section 409A of the Code and the regulations and other guidance thereunder.</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60"/>
          </w:cols>
          <w:pgMar w:left="440" w:top="266" w:right="499" w:bottom="1440" w:gutter="0" w:footer="0" w:header="0"/>
        </w:sectPr>
      </w:pPr>
    </w:p>
    <w:bookmarkStart w:id="38" w:name="page39"/>
    <w:bookmarkEnd w:id="38"/>
    <w:p>
      <w:pPr>
        <w:ind w:left="-40" w:right="20" w:firstLine="436"/>
        <w:spacing w:after="0" w:line="268" w:lineRule="auto"/>
        <w:tabs>
          <w:tab w:leader="none" w:pos="835"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Section 409A Change in Control</w:t>
      </w:r>
      <w:r>
        <w:rPr>
          <w:rFonts w:ascii="Times New Roman" w:cs="Times New Roman" w:eastAsia="Times New Roman" w:hAnsi="Times New Roman"/>
          <w:sz w:val="18"/>
          <w:szCs w:val="18"/>
          <w:color w:val="auto"/>
        </w:rPr>
        <w:t>” means a change in the ownership or effective control of the Company, or in the ownership of a substantial portion of the Company’s assets, as provided in Section 409A(a)(2)(A)(v) of the Code and U.S. Treasury Regulations Section 1.409A-3(i)(5) (without regard to any alternative definition thereunder).</w:t>
      </w:r>
    </w:p>
    <w:p>
      <w:pPr>
        <w:spacing w:after="0" w:line="62" w:lineRule="exact"/>
        <w:rPr>
          <w:rFonts w:ascii="Times New Roman" w:cs="Times New Roman" w:eastAsia="Times New Roman" w:hAnsi="Times New Roman"/>
          <w:sz w:val="18"/>
          <w:szCs w:val="18"/>
          <w:b w:val="1"/>
          <w:bCs w:val="1"/>
          <w:color w:val="auto"/>
        </w:rPr>
      </w:pPr>
    </w:p>
    <w:p>
      <w:pPr>
        <w:ind w:left="860" w:hanging="464"/>
        <w:spacing w:after="0"/>
        <w:tabs>
          <w:tab w:leader="none" w:pos="86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U.S. Securities Act of 1933, as amended.</w:t>
      </w:r>
    </w:p>
    <w:p>
      <w:pPr>
        <w:spacing w:after="0" w:line="117" w:lineRule="exact"/>
        <w:rPr>
          <w:rFonts w:ascii="Times New Roman" w:cs="Times New Roman" w:eastAsia="Times New Roman" w:hAnsi="Times New Roman"/>
          <w:sz w:val="18"/>
          <w:szCs w:val="18"/>
          <w:b w:val="1"/>
          <w:bCs w:val="1"/>
          <w:color w:val="auto"/>
        </w:rPr>
      </w:pPr>
    </w:p>
    <w:p>
      <w:pPr>
        <w:ind w:left="860" w:hanging="464"/>
        <w:spacing w:after="0"/>
        <w:tabs>
          <w:tab w:leader="none" w:pos="86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 Reserve</w:t>
      </w:r>
      <w:r>
        <w:rPr>
          <w:rFonts w:ascii="Times New Roman" w:cs="Times New Roman" w:eastAsia="Times New Roman" w:hAnsi="Times New Roman"/>
          <w:sz w:val="18"/>
          <w:szCs w:val="18"/>
          <w:color w:val="auto"/>
        </w:rPr>
        <w:t>” means the number of shares available for issuance under the Plan as set forth in Section 2(a).</w:t>
      </w:r>
    </w:p>
    <w:p>
      <w:pPr>
        <w:spacing w:after="0" w:line="117" w:lineRule="exact"/>
        <w:rPr>
          <w:rFonts w:ascii="Times New Roman" w:cs="Times New Roman" w:eastAsia="Times New Roman" w:hAnsi="Times New Roman"/>
          <w:sz w:val="18"/>
          <w:szCs w:val="18"/>
          <w:b w:val="1"/>
          <w:bCs w:val="1"/>
          <w:color w:val="auto"/>
        </w:rPr>
      </w:pPr>
    </w:p>
    <w:p>
      <w:pPr>
        <w:ind w:left="-40" w:right="80" w:firstLine="436"/>
        <w:spacing w:after="0" w:line="286" w:lineRule="auto"/>
        <w:tabs>
          <w:tab w:leader="none" w:pos="805"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SAR</w:t>
      </w:r>
      <w:r>
        <w:rPr>
          <w:rFonts w:ascii="Times New Roman" w:cs="Times New Roman" w:eastAsia="Times New Roman" w:hAnsi="Times New Roman"/>
          <w:sz w:val="18"/>
          <w:szCs w:val="18"/>
          <w:color w:val="auto"/>
        </w:rPr>
        <w:t>” means a right to receive the appreciation on Common Stock that is granted pursuant to the terms and conditions of Section 4.</w:t>
      </w:r>
    </w:p>
    <w:p>
      <w:pPr>
        <w:spacing w:after="0" w:line="46" w:lineRule="exact"/>
        <w:rPr>
          <w:rFonts w:ascii="Times New Roman" w:cs="Times New Roman" w:eastAsia="Times New Roman" w:hAnsi="Times New Roman"/>
          <w:sz w:val="18"/>
          <w:szCs w:val="18"/>
          <w:b w:val="1"/>
          <w:bCs w:val="1"/>
          <w:color w:val="auto"/>
        </w:rPr>
      </w:pPr>
    </w:p>
    <w:p>
      <w:pPr>
        <w:ind w:left="-40" w:right="220" w:firstLine="436"/>
        <w:spacing w:after="0" w:line="259" w:lineRule="auto"/>
        <w:tabs>
          <w:tab w:leader="none" w:pos="775"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71" w:lineRule="exact"/>
        <w:rPr>
          <w:rFonts w:ascii="Times New Roman" w:cs="Times New Roman" w:eastAsia="Times New Roman" w:hAnsi="Times New Roman"/>
          <w:sz w:val="18"/>
          <w:szCs w:val="18"/>
          <w:b w:val="1"/>
          <w:bCs w:val="1"/>
          <w:color w:val="auto"/>
        </w:rPr>
      </w:pPr>
    </w:p>
    <w:p>
      <w:pPr>
        <w:ind w:left="-40" w:right="200" w:firstLine="436"/>
        <w:spacing w:after="0" w:line="286" w:lineRule="auto"/>
        <w:tabs>
          <w:tab w:leader="none" w:pos="745"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Tax-Related Items</w:t>
      </w:r>
      <w:r>
        <w:rPr>
          <w:rFonts w:ascii="Times New Roman" w:cs="Times New Roman" w:eastAsia="Times New Roman" w:hAnsi="Times New Roman"/>
          <w:sz w:val="18"/>
          <w:szCs w:val="18"/>
          <w:color w:val="auto"/>
        </w:rPr>
        <w:t>” means any income tax, social insurance, payroll tax, fringe benefit tax, payment on account or other tax-related items arising out of or in relation to a Participant’s participation in the Plan and legally applicable or deemed applicable to the Participant.</w:t>
      </w:r>
    </w:p>
    <w:p>
      <w:pPr>
        <w:spacing w:after="0" w:line="46" w:lineRule="exact"/>
        <w:rPr>
          <w:rFonts w:ascii="Times New Roman" w:cs="Times New Roman" w:eastAsia="Times New Roman" w:hAnsi="Times New Roman"/>
          <w:sz w:val="18"/>
          <w:szCs w:val="18"/>
          <w:b w:val="1"/>
          <w:bCs w:val="1"/>
          <w:color w:val="auto"/>
        </w:rPr>
      </w:pPr>
    </w:p>
    <w:p>
      <w:pPr>
        <w:ind w:left="-40" w:right="380" w:firstLine="436"/>
        <w:spacing w:after="0" w:line="286" w:lineRule="auto"/>
        <w:tabs>
          <w:tab w:leader="none" w:pos="865"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Ten Percent Stockholder</w:t>
      </w:r>
      <w:r>
        <w:rPr>
          <w:rFonts w:ascii="Times New Roman" w:cs="Times New Roman" w:eastAsia="Times New Roman" w:hAnsi="Times New Roman"/>
          <w:sz w:val="18"/>
          <w:szCs w:val="18"/>
          <w:color w:val="auto"/>
        </w:rPr>
        <w:t>” means a person who Owns (or is deemed to Own pursuant to Section 424(d) of the Code) stock possessing more than 10% of the total combined voting power of all classes of stock of the Company or any Affiliate.</w:t>
      </w:r>
    </w:p>
    <w:p>
      <w:pPr>
        <w:spacing w:after="0" w:line="46" w:lineRule="exact"/>
        <w:rPr>
          <w:rFonts w:ascii="Times New Roman" w:cs="Times New Roman" w:eastAsia="Times New Roman" w:hAnsi="Times New Roman"/>
          <w:sz w:val="18"/>
          <w:szCs w:val="18"/>
          <w:b w:val="1"/>
          <w:bCs w:val="1"/>
          <w:color w:val="auto"/>
        </w:rPr>
      </w:pPr>
    </w:p>
    <w:p>
      <w:pPr>
        <w:ind w:left="-40" w:right="60" w:firstLine="436"/>
        <w:spacing w:after="0" w:line="286" w:lineRule="auto"/>
        <w:tabs>
          <w:tab w:leader="none" w:pos="835"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Policy</w:t>
      </w:r>
      <w:r>
        <w:rPr>
          <w:rFonts w:ascii="Times New Roman" w:cs="Times New Roman" w:eastAsia="Times New Roman" w:hAnsi="Times New Roman"/>
          <w:sz w:val="18"/>
          <w:szCs w:val="18"/>
          <w:color w:val="auto"/>
        </w:rPr>
        <w:t>” means the Company’s policy permitting certain individuals to sell Company shares only during certain “window” periods and/or otherwise restricts the ability of certain individuals to transfer or encumber Company shares, as in effect from time to time.</w:t>
      </w:r>
    </w:p>
    <w:p>
      <w:pPr>
        <w:spacing w:after="0" w:line="46" w:lineRule="exact"/>
        <w:rPr>
          <w:rFonts w:ascii="Times New Roman" w:cs="Times New Roman" w:eastAsia="Times New Roman" w:hAnsi="Times New Roman"/>
          <w:sz w:val="18"/>
          <w:szCs w:val="18"/>
          <w:b w:val="1"/>
          <w:bCs w:val="1"/>
          <w:color w:val="auto"/>
        </w:rPr>
      </w:pPr>
    </w:p>
    <w:p>
      <w:pPr>
        <w:ind w:left="-40" w:right="240" w:firstLine="436"/>
        <w:spacing w:after="0" w:line="286" w:lineRule="auto"/>
        <w:tabs>
          <w:tab w:leader="none" w:pos="955"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Unvested Non-Exempt Award</w:t>
      </w:r>
      <w:r>
        <w:rPr>
          <w:rFonts w:ascii="Times New Roman" w:cs="Times New Roman" w:eastAsia="Times New Roman" w:hAnsi="Times New Roman"/>
          <w:sz w:val="18"/>
          <w:szCs w:val="18"/>
          <w:color w:val="auto"/>
        </w:rPr>
        <w:t>” means the portion of any Non-Exempt Award that had not vested in accordance with its terms upon or prior to the date of any Corporate Transaction.</w:t>
      </w:r>
    </w:p>
    <w:p>
      <w:pPr>
        <w:spacing w:after="0" w:line="46" w:lineRule="exact"/>
        <w:rPr>
          <w:rFonts w:ascii="Times New Roman" w:cs="Times New Roman" w:eastAsia="Times New Roman" w:hAnsi="Times New Roman"/>
          <w:sz w:val="18"/>
          <w:szCs w:val="18"/>
          <w:b w:val="1"/>
          <w:bCs w:val="1"/>
          <w:color w:val="auto"/>
        </w:rPr>
      </w:pPr>
    </w:p>
    <w:p>
      <w:pPr>
        <w:ind w:left="-40" w:firstLine="436"/>
        <w:spacing w:after="0" w:line="286" w:lineRule="auto"/>
        <w:tabs>
          <w:tab w:leader="none" w:pos="835"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Vested Non-Exempt Award</w:t>
      </w:r>
      <w:r>
        <w:rPr>
          <w:rFonts w:ascii="Times New Roman" w:cs="Times New Roman" w:eastAsia="Times New Roman" w:hAnsi="Times New Roman"/>
          <w:sz w:val="18"/>
          <w:szCs w:val="18"/>
          <w:color w:val="auto"/>
        </w:rPr>
        <w:t>” means the portion of any Non-Exempt Award that had vested in accordance with its terms upon or prior to the date of a Corporate Transaction.</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sectPr>
      <w:pgSz w:w="11900" w:h="16838" w:orient="portrait"/>
      <w:cols w:equalWidth="0" w:num="1">
        <w:col w:w="10940"/>
      </w:cols>
      <w:pgMar w:left="480" w:top="26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1."/>
      <w:numFmt w:val="decimal"/>
      <w:start w:val="1"/>
    </w:lvl>
    <w:lvl w:ilvl="1">
      <w:lvlJc w:val="left"/>
      <w:lvlText w:val="(%2)"/>
      <w:numFmt w:val="lowerLetter"/>
      <w:start w:val="1"/>
    </w:lvl>
  </w:abstractNum>
  <w:abstractNum w:abstractNumId="2">
    <w:nsid w:val="5072367"/>
    <w:multiLevelType w:val="hybridMultilevel"/>
    <w:lvl w:ilvl="0">
      <w:lvlJc w:val="left"/>
      <w:lvlText w:val="(%1)"/>
      <w:numFmt w:val="lowerLetter"/>
      <w:start w:val="61"/>
    </w:lvl>
    <w:lvl w:ilvl="1">
      <w:lvlJc w:val="left"/>
      <w:lvlText w:val="(%2)"/>
      <w:numFmt w:val="lowerLetter"/>
      <w:start w:val="4"/>
    </w:lvl>
  </w:abstractNum>
  <w:abstractNum w:abstractNumId="3">
    <w:nsid w:val="3804823E"/>
    <w:multiLevelType w:val="hybridMultilevel"/>
    <w:lvl w:ilvl="0">
      <w:lvlJc w:val="left"/>
      <w:lvlText w:val="%1."/>
      <w:numFmt w:val="decimal"/>
      <w:start w:val="2"/>
    </w:lvl>
    <w:lvl w:ilvl="1">
      <w:lvlJc w:val="left"/>
      <w:lvlText w:val="(%2)"/>
      <w:numFmt w:val="lowerLetter"/>
      <w:start w:val="1"/>
    </w:lvl>
  </w:abstractNum>
  <w:abstractNum w:abstractNumId="4">
    <w:nsid w:val="77465F0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
    <w:nsid w:val="7724C67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6">
    <w:nsid w:val="5C482A97"/>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7">
    <w:nsid w:val="2463B9EA"/>
    <w:multiLevelType w:val="hybridMultilevel"/>
    <w:lvl w:ilvl="0">
      <w:lvlJc w:val="left"/>
      <w:lvlText w:val="(%1)"/>
      <w:numFmt w:val="decimal"/>
      <w:start w:val="2"/>
    </w:lvl>
    <w:lvl w:ilvl="1">
      <w:lvlJc w:val="left"/>
      <w:lvlText w:val="(%2)"/>
      <w:numFmt w:val="lowerLetter"/>
      <w:start w:val="2"/>
    </w:lvl>
    <w:lvl w:ilvl="2">
      <w:lvlJc w:val="left"/>
      <w:lvlText w:val="(%3)"/>
      <w:numFmt w:val="lowerRoman"/>
      <w:start w:val="4"/>
    </w:lvl>
  </w:abstractNum>
  <w:abstractNum w:abstractNumId="8">
    <w:nsid w:val="5E884ADC"/>
    <w:multiLevelType w:val="hybridMultilevel"/>
    <w:lvl w:ilvl="0">
      <w:lvlJc w:val="left"/>
      <w:lvlText w:val="%1."/>
      <w:numFmt w:val="decimal"/>
      <w:start w:val="4"/>
    </w:lvl>
  </w:abstractNum>
  <w:abstractNum w:abstractNumId="9">
    <w:nsid w:val="51EAD36B"/>
    <w:multiLevelType w:val="hybridMultilevel"/>
    <w:lvl w:ilvl="0">
      <w:lvlJc w:val="left"/>
      <w:lvlText w:val="(%1)"/>
      <w:numFmt w:val="lowerLetter"/>
      <w:start w:val="1"/>
    </w:lvl>
    <w:lvl w:ilvl="1">
      <w:lvlJc w:val="left"/>
      <w:lvlText w:val="(%2)"/>
      <w:numFmt w:val="lowerRoman"/>
      <w:start w:val="1"/>
    </w:lvl>
  </w:abstractNum>
  <w:abstractNum w:abstractNumId="10">
    <w:nsid w:val="2D517796"/>
    <w:multiLevelType w:val="hybridMultilevel"/>
    <w:lvl w:ilvl="0">
      <w:lvlJc w:val="left"/>
      <w:lvlText w:val="%1"/>
      <w:numFmt w:val="lowerLetter"/>
      <w:start w:val="1"/>
    </w:lvl>
    <w:lvl w:ilvl="1">
      <w:lvlJc w:val="left"/>
      <w:lvlText w:val="(%2)"/>
      <w:numFmt w:val="lowerRoman"/>
      <w:start w:val="4"/>
    </w:lvl>
  </w:abstractNum>
  <w:abstractNum w:abstractNumId="11">
    <w:nsid w:val="580BD78F"/>
    <w:multiLevelType w:val="hybridMultilevel"/>
    <w:lvl w:ilvl="0">
      <w:lvlJc w:val="left"/>
      <w:lvlText w:val="(%1)"/>
      <w:numFmt w:val="lowerLetter"/>
      <w:start w:val="4"/>
    </w:lvl>
    <w:lvl w:ilvl="1">
      <w:lvlJc w:val="left"/>
      <w:lvlText w:val="(%2)"/>
      <w:numFmt w:val="lowerRoman"/>
      <w:start w:val="1"/>
    </w:lvl>
  </w:abstractNum>
  <w:abstractNum w:abstractNumId="12">
    <w:nsid w:val="153EA438"/>
    <w:multiLevelType w:val="hybridMultilevel"/>
    <w:lvl w:ilvl="0">
      <w:lvlJc w:val="left"/>
      <w:lvlText w:val="(%1)"/>
      <w:numFmt w:val="lowerLetter"/>
      <w:start w:val="7"/>
    </w:lvl>
    <w:lvl w:ilvl="1">
      <w:lvlJc w:val="left"/>
      <w:lvlText w:val="(%2)"/>
      <w:numFmt w:val="lowerRoman"/>
      <w:start w:val="1"/>
    </w:lvl>
  </w:abstractNum>
  <w:abstractNum w:abstractNumId="13">
    <w:nsid w:val="3855585C"/>
    <w:multiLevelType w:val="hybridMultilevel"/>
    <w:lvl w:ilvl="0">
      <w:lvlJc w:val="left"/>
      <w:lvlText w:val="(%1)"/>
      <w:numFmt w:val="lowerRoman"/>
      <w:start w:val="1"/>
    </w:lvl>
  </w:abstractNum>
  <w:abstractNum w:abstractNumId="14">
    <w:nsid w:val="70A64E2A"/>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lvl w:ilvl="3">
      <w:lvlJc w:val="left"/>
      <w:lvlText w:val="%4"/>
      <w:numFmt w:val="decimal"/>
      <w:start w:val="1"/>
    </w:lvl>
  </w:abstractNum>
  <w:abstractNum w:abstractNumId="15">
    <w:nsid w:val="6A2342EC"/>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16">
    <w:nsid w:val="2A487CB0"/>
    <w:multiLevelType w:val="hybridMultilevel"/>
    <w:lvl w:ilvl="0">
      <w:lvlJc w:val="left"/>
      <w:lvlText w:val="(%1)"/>
      <w:numFmt w:val="lowerRoman"/>
      <w:start w:val="2"/>
    </w:lvl>
    <w:lvl w:ilvl="1">
      <w:lvlJc w:val="left"/>
      <w:lvlText w:val="(%2)"/>
      <w:numFmt w:val="decimal"/>
      <w:start w:val="1"/>
    </w:lvl>
  </w:abstractNum>
  <w:abstractNum w:abstractNumId="17">
    <w:nsid w:val="1D4ED43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18">
    <w:nsid w:val="725A06F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9">
    <w:nsid w:val="2CD89A32"/>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0">
    <w:nsid w:val="57E4CCAF"/>
    <w:multiLevelType w:val="hybridMultilevel"/>
    <w:lvl w:ilvl="0">
      <w:lvlJc w:val="left"/>
      <w:lvlText w:val="(%1)"/>
      <w:numFmt w:val="lowerLetter"/>
      <w:start w:val="3"/>
    </w:lvl>
  </w:abstractNum>
  <w:abstractNum w:abstractNumId="21">
    <w:nsid w:val="7A6D8D3C"/>
    <w:multiLevelType w:val="hybridMultilevel"/>
    <w:lvl w:ilvl="0">
      <w:lvlJc w:val="left"/>
      <w:lvlText w:val="(%1)"/>
      <w:numFmt w:val="lowerRoman"/>
      <w:start w:val="1"/>
    </w:lvl>
  </w:abstractNum>
  <w:abstractNum w:abstractNumId="22">
    <w:nsid w:val="4B588F5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23">
    <w:nsid w:val="542289EC"/>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4">
    <w:nsid w:val="6DE91B18"/>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5">
    <w:nsid w:val="38437FD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6">
    <w:nsid w:val="7644A45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8"/>
    </w:lvl>
  </w:abstractNum>
  <w:abstractNum w:abstractNumId="27">
    <w:nsid w:val="32FFF902"/>
    <w:multiLevelType w:val="hybridMultilevel"/>
    <w:lvl w:ilvl="0">
      <w:lvlJc w:val="left"/>
      <w:lvlText w:val="%1"/>
      <w:numFmt w:val="lowerLetter"/>
      <w:start w:val="1"/>
    </w:lvl>
    <w:lvl w:ilvl="1">
      <w:lvlJc w:val="left"/>
      <w:lvlText w:val="(%2)"/>
      <w:numFmt w:val="lowerRoman"/>
      <w:start w:val="10"/>
    </w:lvl>
  </w:abstractNum>
  <w:abstractNum w:abstractNumId="28">
    <w:nsid w:val="684A481A"/>
    <w:multiLevelType w:val="hybridMultilevel"/>
    <w:lvl w:ilvl="0">
      <w:lvlJc w:val="left"/>
      <w:lvlText w:val="(%1)"/>
      <w:numFmt w:val="lowerLetter"/>
      <w:start w:val="3"/>
    </w:lvl>
    <w:lvl w:ilvl="1">
      <w:lvlJc w:val="left"/>
      <w:lvlText w:val="(%2)"/>
      <w:numFmt w:val="lowerRoman"/>
      <w:start w:val="1"/>
    </w:lvl>
  </w:abstractNum>
  <w:abstractNum w:abstractNumId="29">
    <w:nsid w:val="579478FE"/>
    <w:multiLevelType w:val="hybridMultilevel"/>
    <w:lvl w:ilvl="0">
      <w:lvlJc w:val="left"/>
      <w:lvlText w:val="%1"/>
      <w:numFmt w:val="decimal"/>
      <w:start w:val="1"/>
    </w:lvl>
    <w:lvl w:ilvl="1">
      <w:lvlJc w:val="left"/>
      <w:lvlText w:val="(%2)"/>
      <w:numFmt w:val="lowerLetter"/>
      <w:start w:val="5"/>
    </w:lvl>
  </w:abstractNum>
  <w:abstractNum w:abstractNumId="30">
    <w:nsid w:val="749ABB43"/>
    <w:multiLevelType w:val="hybridMultilevel"/>
    <w:lvl w:ilvl="0">
      <w:lvlJc w:val="left"/>
      <w:lvlText w:val="%1."/>
      <w:numFmt w:val="decimal"/>
      <w:start w:val="8"/>
    </w:lvl>
    <w:lvl w:ilvl="1">
      <w:lvlJc w:val="left"/>
      <w:lvlText w:val="(%2)"/>
      <w:numFmt w:val="lowerLetter"/>
      <w:start w:val="1"/>
    </w:lvl>
  </w:abstractNum>
  <w:abstractNum w:abstractNumId="31">
    <w:nsid w:val="3DC240FB"/>
    <w:multiLevelType w:val="hybridMultilevel"/>
    <w:lvl w:ilvl="0">
      <w:lvlJc w:val="left"/>
      <w:lvlText w:val="%1"/>
      <w:numFmt w:val="decimal"/>
      <w:start w:val="1"/>
    </w:lvl>
    <w:lvl w:ilvl="1">
      <w:lvlJc w:val="left"/>
      <w:lvlText w:val="(%2)"/>
      <w:numFmt w:val="lowerLetter"/>
      <w:start w:val="4"/>
    </w:lvl>
  </w:abstractNum>
  <w:abstractNum w:abstractNumId="32">
    <w:nsid w:val="1BA026FA"/>
    <w:multiLevelType w:val="hybridMultilevel"/>
    <w:lvl w:ilvl="0">
      <w:lvlJc w:val="left"/>
      <w:lvlText w:val="%1."/>
      <w:numFmt w:val="decimal"/>
      <w:start w:val="9"/>
    </w:lvl>
    <w:lvl w:ilvl="1">
      <w:lvlJc w:val="left"/>
      <w:lvlText w:val="(%2)"/>
      <w:numFmt w:val="lowerLetter"/>
      <w:start w:val="1"/>
    </w:lvl>
  </w:abstractNum>
  <w:abstractNum w:abstractNumId="33">
    <w:nsid w:val="79A1DEAA"/>
    <w:multiLevelType w:val="hybridMultilevel"/>
    <w:lvl w:ilvl="0">
      <w:lvlJc w:val="left"/>
      <w:lvlText w:val="(%1)"/>
      <w:numFmt w:val="lowerLetter"/>
      <w:start w:val="4"/>
    </w:lvl>
  </w:abstractNum>
  <w:abstractNum w:abstractNumId="34">
    <w:nsid w:val="75C6C33A"/>
    <w:multiLevelType w:val="hybridMultilevel"/>
    <w:lvl w:ilvl="0">
      <w:lvlJc w:val="left"/>
      <w:lvlText w:val="(%1)"/>
      <w:numFmt w:val="lowerLetter"/>
      <w:start w:val="8"/>
    </w:lvl>
  </w:abstractNum>
  <w:abstractNum w:abstractNumId="35">
    <w:nsid w:val="12E685FB"/>
    <w:multiLevelType w:val="hybridMultilevel"/>
    <w:lvl w:ilvl="0">
      <w:lvlJc w:val="left"/>
      <w:lvlText w:val="(%1)"/>
      <w:numFmt w:val="lowerLetter"/>
      <w:start w:val="14"/>
    </w:lvl>
  </w:abstractNum>
  <w:abstractNum w:abstractNumId="36">
    <w:nsid w:val="70C6A529"/>
    <w:multiLevelType w:val="hybridMultilevel"/>
    <w:lvl w:ilvl="0">
      <w:lvlJc w:val="left"/>
      <w:lvlText w:val="%1."/>
      <w:numFmt w:val="decimal"/>
      <w:start w:val="10"/>
    </w:lvl>
  </w:abstractNum>
  <w:abstractNum w:abstractNumId="37">
    <w:nsid w:val="520EEDD1"/>
    <w:multiLevelType w:val="hybridMultilevel"/>
    <w:lvl w:ilvl="0">
      <w:lvlJc w:val="left"/>
      <w:lvlText w:val="%1."/>
      <w:numFmt w:val="decimal"/>
      <w:start w:val="11"/>
    </w:lvl>
    <w:lvl w:ilvl="1">
      <w:lvlJc w:val="left"/>
      <w:lvlText w:val="(%2)"/>
      <w:numFmt w:val="lowerLetter"/>
      <w:start w:val="1"/>
    </w:lvl>
  </w:abstractNum>
  <w:abstractNum w:abstractNumId="38">
    <w:nsid w:val="374A3FE6"/>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39">
    <w:nsid w:val="4F4EF005"/>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abstractNum>
  <w:abstractNum w:abstractNumId="40">
    <w:nsid w:val="23F9C13C"/>
    <w:multiLevelType w:val="hybridMultilevel"/>
    <w:lvl w:ilvl="0">
      <w:lvlJc w:val="left"/>
      <w:lvlText w:val="(%1)"/>
      <w:numFmt w:val="lowerRoman"/>
      <w:start w:val="1"/>
    </w:lvl>
  </w:abstractNum>
  <w:abstractNum w:abstractNumId="41">
    <w:nsid w:val="649BB77C"/>
    <w:multiLevelType w:val="hybridMultilevel"/>
    <w:lvl w:ilvl="0">
      <w:lvlJc w:val="left"/>
      <w:lvlText w:val="%1"/>
      <w:numFmt w:val="lowerRoman"/>
      <w:start w:val="1"/>
    </w:lvl>
    <w:lvl w:ilvl="1">
      <w:lvlJc w:val="left"/>
      <w:lvlText w:val="(%2)"/>
      <w:numFmt w:val="decimal"/>
      <w:start w:val="1"/>
    </w:lvl>
  </w:abstractNum>
  <w:abstractNum w:abstractNumId="42">
    <w:nsid w:val="275AC794"/>
    <w:multiLevelType w:val="hybridMultilevel"/>
    <w:lvl w:ilvl="0">
      <w:lvlJc w:val="left"/>
      <w:lvlText w:val="(%1)"/>
      <w:numFmt w:val="lowerRoman"/>
      <w:start w:val="2"/>
    </w:lvl>
    <w:lvl w:ilvl="1">
      <w:lvlJc w:val="left"/>
      <w:lvlText w:val="(%2)"/>
      <w:numFmt w:val="decimal"/>
      <w:start w:val="1"/>
    </w:lvl>
  </w:abstractNum>
  <w:abstractNum w:abstractNumId="43">
    <w:nsid w:val="39386575"/>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3"/>
    </w:lvl>
  </w:abstractNum>
  <w:abstractNum w:abstractNumId="44">
    <w:nsid w:val="1CF10FD8"/>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abstractNum>
  <w:abstractNum w:abstractNumId="45">
    <w:nsid w:val="180115BE"/>
    <w:multiLevelType w:val="hybridMultilevel"/>
    <w:lvl w:ilvl="0">
      <w:lvlJc w:val="left"/>
      <w:lvlText w:val="%1"/>
      <w:numFmt w:val="decimal"/>
      <w:start w:val="1"/>
    </w:lvl>
    <w:lvl w:ilvl="1">
      <w:lvlJc w:val="left"/>
      <w:lvlText w:val="(%2)"/>
      <w:numFmt w:val="lowerRoman"/>
      <w:start w:val="3"/>
    </w:lvl>
  </w:abstractNum>
  <w:abstractNum w:abstractNumId="46">
    <w:nsid w:val="235BA861"/>
    <w:multiLevelType w:val="hybridMultilevel"/>
    <w:lvl w:ilvl="0">
      <w:lvlJc w:val="left"/>
      <w:lvlText w:val="%1."/>
      <w:numFmt w:val="decimal"/>
      <w:start w:val="12"/>
    </w:lvl>
    <w:lvl w:ilvl="1">
      <w:lvlJc w:val="left"/>
      <w:lvlText w:val="%2"/>
      <w:numFmt w:val="lowerRoman"/>
      <w:start w:val="1"/>
    </w:lvl>
  </w:abstractNum>
  <w:abstractNum w:abstractNumId="47">
    <w:nsid w:val="47398C89"/>
    <w:multiLevelType w:val="hybridMultilevel"/>
    <w:lvl w:ilvl="0">
      <w:lvlJc w:val="left"/>
      <w:lvlText w:val="%1."/>
      <w:numFmt w:val="decimal"/>
      <w:start w:val="13"/>
    </w:lvl>
  </w:abstractNum>
  <w:abstractNum w:abstractNumId="48">
    <w:nsid w:val="354FE9F9"/>
    <w:multiLevelType w:val="hybridMultilevel"/>
    <w:lvl w:ilvl="0">
      <w:lvlJc w:val="left"/>
      <w:lvlText w:val="(%1)"/>
      <w:numFmt w:val="lowerRoman"/>
      <w:start w:val="1"/>
    </w:lvl>
  </w:abstractNum>
  <w:abstractNum w:abstractNumId="49">
    <w:nsid w:val="15B5AF5C"/>
    <w:multiLevelType w:val="hybridMultilevel"/>
    <w:lvl w:ilvl="0">
      <w:lvlJc w:val="left"/>
      <w:lvlText w:val="%1."/>
      <w:numFmt w:val="decimal"/>
      <w:start w:val="14"/>
    </w:lvl>
  </w:abstractNum>
  <w:abstractNum w:abstractNumId="50">
    <w:nsid w:val="741226BB"/>
    <w:multiLevelType w:val="hybridMultilevel"/>
    <w:lvl w:ilvl="0">
      <w:lvlJc w:val="left"/>
      <w:lvlText w:val="(%1)"/>
      <w:numFmt w:val="lowerLetter"/>
      <w:start w:val="1"/>
    </w:lvl>
  </w:abstractNum>
  <w:abstractNum w:abstractNumId="51">
    <w:nsid w:val="D34B6A8"/>
    <w:multiLevelType w:val="hybridMultilevel"/>
    <w:lvl w:ilvl="0">
      <w:lvlJc w:val="left"/>
      <w:lvlText w:val="%1"/>
      <w:numFmt w:val="upperLetter"/>
      <w:start w:val="1"/>
    </w:lvl>
    <w:lvl w:ilvl="1">
      <w:lvlJc w:val="left"/>
      <w:lvlText w:val="(%2)"/>
      <w:numFmt w:val="lowerLetter"/>
      <w:start w:val="10"/>
    </w:lvl>
    <w:lvl w:ilvl="2">
      <w:lvlJc w:val="left"/>
      <w:lvlText w:val="%3"/>
      <w:numFmt w:val="lowerLetter"/>
      <w:start w:val="1"/>
    </w:lvl>
  </w:abstractNum>
  <w:abstractNum w:abstractNumId="52">
    <w:nsid w:val="10233C99"/>
    <w:multiLevelType w:val="hybridMultilevel"/>
    <w:lvl w:ilvl="0">
      <w:lvlJc w:val="left"/>
      <w:lvlText w:val="(%1)"/>
      <w:numFmt w:val="upperLetter"/>
      <w:start w:val="2"/>
    </w:lvl>
    <w:lvl w:ilvl="1">
      <w:lvlJc w:val="left"/>
      <w:lvlText w:val="(%2)"/>
      <w:numFmt w:val="lowerLetter"/>
      <w:start w:val="11"/>
    </w:lvl>
    <w:lvl w:ilvl="2">
      <w:lvlJc w:val="left"/>
      <w:lvlText w:val="(%3)"/>
      <w:numFmt w:val="lowerLetter"/>
      <w:start w:val="9"/>
    </w:lvl>
  </w:abstractNum>
  <w:abstractNum w:abstractNumId="53">
    <w:nsid w:val="3F6AB60F"/>
    <w:multiLevelType w:val="hybridMultilevel"/>
    <w:lvl w:ilvl="0">
      <w:lvlJc w:val="left"/>
      <w:lvlText w:val="(%1)"/>
      <w:numFmt w:val="lowerRoman"/>
      <w:start w:val="2"/>
    </w:lvl>
  </w:abstractNum>
  <w:abstractNum w:abstractNumId="54">
    <w:nsid w:val="61574095"/>
    <w:multiLevelType w:val="hybridMultilevel"/>
    <w:lvl w:ilvl="0">
      <w:lvlJc w:val="left"/>
      <w:lvlText w:val="(%1)"/>
      <w:numFmt w:val="lowerLetter"/>
      <w:start w:val="12"/>
    </w:lvl>
  </w:abstractNum>
  <w:abstractNum w:abstractNumId="55">
    <w:nsid w:val="7E0C57B1"/>
    <w:multiLevelType w:val="hybridMultilevel"/>
    <w:lvl w:ilvl="0">
      <w:lvlJc w:val="left"/>
      <w:lvlText w:val="(%1)"/>
      <w:numFmt w:val="lowerLetter"/>
      <w:start w:val="14"/>
    </w:lvl>
  </w:abstractNum>
  <w:abstractNum w:abstractNumId="56">
    <w:nsid w:val="77AE35EB"/>
    <w:multiLevelType w:val="hybridMultilevel"/>
    <w:lvl w:ilvl="0">
      <w:lvlJc w:val="left"/>
      <w:lvlText w:val="(%1)"/>
      <w:numFmt w:val="lowerLetter"/>
      <w:start w:val="20"/>
    </w:lvl>
    <w:lvl w:ilvl="1">
      <w:lvlJc w:val="left"/>
      <w:lvlText w:val="(%2)"/>
      <w:numFmt w:val="lowerRoman"/>
      <w:start w:val="1"/>
    </w:lvl>
  </w:abstractNum>
  <w:abstractNum w:abstractNumId="57">
    <w:nsid w:val="579BE4F1"/>
    <w:multiLevelType w:val="hybridMultilevel"/>
    <w:lvl w:ilvl="0">
      <w:lvlJc w:val="left"/>
      <w:lvlText w:val="(%1)"/>
      <w:numFmt w:val="lowerLetter"/>
      <w:start w:val="21"/>
    </w:lvl>
  </w:abstractNum>
  <w:abstractNum w:abstractNumId="58">
    <w:nsid w:val="310C50B3"/>
    <w:multiLevelType w:val="hybridMultilevel"/>
    <w:lvl w:ilvl="0">
      <w:lvlJc w:val="left"/>
      <w:lvlText w:val="(%1)"/>
      <w:numFmt w:val="lowerLetter"/>
      <w:start w:val="25"/>
    </w:lvl>
  </w:abstractNum>
  <w:abstractNum w:abstractNumId="59">
    <w:nsid w:val="5FF87E05"/>
    <w:multiLevelType w:val="hybridMultilevel"/>
    <w:lvl w:ilvl="0">
      <w:lvlJc w:val="left"/>
      <w:lvlText w:val="(%1)"/>
      <w:numFmt w:val="lowerLetter"/>
      <w:start w:val="27"/>
    </w:lvl>
    <w:lvl w:ilvl="1">
      <w:lvlJc w:val="left"/>
      <w:lvlText w:val="(%2)"/>
      <w:numFmt w:val="lowerRoman"/>
      <w:start w:val="1"/>
    </w:lvl>
  </w:abstractNum>
  <w:abstractNum w:abstractNumId="60">
    <w:nsid w:val="2F305DEF"/>
    <w:multiLevelType w:val="hybridMultilevel"/>
    <w:lvl w:ilvl="0">
      <w:lvlJc w:val="left"/>
      <w:lvlText w:val="%1"/>
      <w:numFmt w:val="lowerLetter"/>
      <w:start w:val="1"/>
    </w:lvl>
    <w:lvl w:ilvl="1">
      <w:lvlJc w:val="left"/>
      <w:lvlText w:val="(%2)"/>
      <w:numFmt w:val="lowerLetter"/>
      <w:start w:val="32"/>
    </w:lvl>
  </w:abstractNum>
  <w:abstractNum w:abstractNumId="61">
    <w:nsid w:val="25A70BF7"/>
    <w:multiLevelType w:val="hybridMultilevel"/>
    <w:lvl w:ilvl="0">
      <w:lvlJc w:val="left"/>
      <w:lvlText w:val="(%1)"/>
      <w:numFmt w:val="lowerLetter"/>
      <w:start w:val="35"/>
    </w:lvl>
    <w:lvl w:ilvl="1">
      <w:lvlJc w:val="left"/>
      <w:lvlText w:val="(%2)"/>
      <w:numFmt w:val="lowerLetter"/>
      <w:start w:val="36"/>
    </w:lvl>
  </w:abstractNum>
  <w:abstractNum w:abstractNumId="62">
    <w:nsid w:val="1DBABF00"/>
    <w:multiLevelType w:val="hybridMultilevel"/>
    <w:lvl w:ilvl="0">
      <w:lvlJc w:val="left"/>
      <w:lvlText w:val="(%1)"/>
      <w:numFmt w:val="lowerLetter"/>
      <w:start w:val="38"/>
    </w:lvl>
  </w:abstractNum>
  <w:abstractNum w:abstractNumId="63">
    <w:nsid w:val="4AD084E9"/>
    <w:multiLevelType w:val="hybridMultilevel"/>
    <w:lvl w:ilvl="0">
      <w:lvlJc w:val="left"/>
      <w:lvlText w:val="(%1)"/>
      <w:numFmt w:val="lowerLetter"/>
      <w:start w:val="48"/>
    </w:lvl>
  </w:abstractNum>
  <w:abstractNum w:abstractNumId="64">
    <w:nsid w:val="1F48EAA1"/>
    <w:multiLevelType w:val="hybridMultilevel"/>
    <w:lvl w:ilvl="0">
      <w:lvlJc w:val="left"/>
      <w:lvlText w:val="(%1)"/>
      <w:numFmt w:val="lowerLetter"/>
      <w:start w:val="51"/>
    </w:lvl>
  </w:abstractNum>
  <w:abstractNum w:abstractNumId="65">
    <w:nsid w:val="1381823A"/>
    <w:multiLevelType w:val="hybridMultilevel"/>
    <w:lvl w:ilvl="0">
      <w:lvlJc w:val="left"/>
      <w:lvlText w:val="(%1)"/>
      <w:numFmt w:val="lowerLetter"/>
      <w:start w:val="53"/>
    </w:lvl>
  </w:abstractNum>
  <w:abstractNum w:abstractNumId="66">
    <w:nsid w:val="5DB70AE5"/>
    <w:multiLevelType w:val="hybridMultilevel"/>
    <w:lvl w:ilvl="0">
      <w:lvlJc w:val="left"/>
      <w:lvlText w:val="(%1)"/>
      <w:numFmt w:val="lowerLetter"/>
      <w:start w:val="58"/>
    </w:lvl>
  </w:abstractNum>
  <w:abstractNum w:abstractNumId="67">
    <w:nsid w:val="100F8FCA"/>
    <w:multiLevelType w:val="hybridMultilevel"/>
    <w:lvl w:ilvl="0">
      <w:lvlJc w:val="left"/>
      <w:lvlText w:val="(%1)"/>
      <w:numFmt w:val="lowerLetter"/>
      <w:start w:val="61"/>
    </w:lvl>
  </w:abstractNum>
  <w:abstractNum w:abstractNumId="68">
    <w:nsid w:val="6590700B"/>
    <w:multiLevelType w:val="hybridMultilevel"/>
    <w:lvl w:ilvl="0">
      <w:lvlJc w:val="left"/>
      <w:lvlText w:val="(%1)"/>
      <w:numFmt w:val="lowerLetter"/>
      <w:start w:val="6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2026-06-17T15:15:46Z</dcterms:created>
  <dcterms:modified xsi:type="dcterms:W3CDTF">2026-06-17T15:15:46Z</dcterms:modified>
</cp:coreProperties>
</file>