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172026_050803.xml.htm"/>
      <w:bookmarkStart w:id="1" w:name="ksform408172026_05080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Yarema Kristin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IMAGENEBIO,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12526 HIGH BLUFF DRIVE, SUITE 345</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ImageneBio, Inc.</w:t>
              </w:r>
            </w:hyperlink>
            <w:r>
              <w:rPr/>
              <w:t xml:space="preserve"> [ </w:t>
            </w:r>
            <w:r>
              <w:rPr>
                <w:rFonts w:ascii="Times;serif" w:hAnsi="Times;serif"/>
                <w:color w:val="0000FF"/>
                <w:sz w:val="24"/>
                <w:shd w:fill="FFFFFF" w:val="clear"/>
              </w:rPr>
              <w:t>IMA</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64"/>
        <w:gridCol w:w="905"/>
        <w:gridCol w:w="774"/>
        <w:gridCol w:w="601"/>
        <w:gridCol w:w="348"/>
        <w:gridCol w:w="1059"/>
        <w:gridCol w:w="454"/>
        <w:gridCol w:w="616"/>
        <w:gridCol w:w="1163"/>
        <w:gridCol w:w="996"/>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6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2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6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6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254,800</w:t>
            </w:r>
            <w:r>
              <w:rPr>
                <w:rFonts w:ascii="Times;serif" w:hAnsi="Times;serif"/>
                <w:color w:val="008000"/>
                <w:position w:val="7"/>
                <w:sz w:val="16"/>
                <w:sz w:val="20"/>
                <w:shd w:fill="FFFFFF" w:val="clear"/>
              </w:rPr>
              <w:t>(1)</w:t>
            </w:r>
          </w:p>
        </w:tc>
        <w:tc>
          <w:tcPr>
            <w:tcW w:w="4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493,705</w:t>
            </w:r>
          </w:p>
        </w:tc>
        <w:tc>
          <w:tcPr>
            <w:tcW w:w="99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41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816"/>
        <w:gridCol w:w="276"/>
        <w:gridCol w:w="906"/>
        <w:gridCol w:w="801"/>
        <w:gridCol w:w="891"/>
        <w:gridCol w:w="921"/>
        <w:gridCol w:w="801"/>
        <w:gridCol w:w="936"/>
        <w:gridCol w:w="831"/>
        <w:gridCol w:w="846"/>
      </w:tblGrid>
      <w:tr>
        <w:trPr>
          <w:tblHeader w:val="true"/>
        </w:trPr>
        <w:tc>
          <w:tcPr>
            <w:tcW w:w="1241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5.84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137,200</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08/13/2036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137,200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137,200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5.84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250,000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08/13/2036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250,000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number of shares of the Issuer's Common Stock underlying restricted stock units ("RSUs"). Each RSU represents the contingent right to receive one share of Common Stock upon settlement. 25% of RSUs will vest and settle into Common Stock on April 14, 2027, and the remaing RSUs will vest in a series of 12 equal quarterly installments thereafter, subject to the Reporting Person's continuous service with the Issuer through each such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options vest over four years, with 25% of the shares vesting on April 14, 2027, and the remaining shares vesting in a series of 36 successive equal monthly installments thereafter, subject to the Reporting Person's continuous service with the Issuer through each such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options vest over four years in a series of 48 successive equal monthly installments commencing on May 14, 2026, subject to the Reporting Person's continuous service with the Issuer through each such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Kristin Yarema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03794" TargetMode="External"/><Relationship Id="rId5" Type="http://schemas.openxmlformats.org/officeDocument/2006/relationships/hyperlink" Target="http://www.sec.gov/cgi-bin/browse-edgar?action=getcompany&amp;CIK=000183557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760</Words>
  <Characters>4085</Characters>
  <CharactersWithSpaces>4751</CharactersWithSpaces>
  <Paragraphs>123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