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4862d8k.htm"/>
      <w:bookmarkStart w:id="1" w:name="ksd11486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June 16,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IMAGENEBIO,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001-40287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81-1697316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12526 High Bluff Drive, Suite 345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San Diego,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92130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(858) 345-6265</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810" w:type="dxa"/>
        <w:jc w:val="left"/>
        <w:tblInd w:w="0" w:type="dxa"/>
        <w:tblLayout w:type="fixed"/>
        <w:tblCellMar>
          <w:top w:w="0" w:type="dxa"/>
          <w:left w:w="0" w:type="dxa"/>
          <w:bottom w:w="0" w:type="dxa"/>
          <w:right w:w="0" w:type="dxa"/>
        </w:tblCellMar>
      </w:tblPr>
      <w:tblGrid>
        <w:gridCol w:w="3230"/>
        <w:gridCol w:w="60"/>
        <w:gridCol w:w="740"/>
        <w:gridCol w:w="60"/>
        <w:gridCol w:w="2720"/>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23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IMA</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 </w:t>
      </w:r>
    </w:p>
    <w:p>
      <w:pPr>
        <w:pStyle w:val="TextBody"/>
        <w:bidi w:val="0"/>
        <w:spacing w:before="240" w:after="0"/>
        <w:jc w:val="left"/>
        <w:rPr>
          <w:rFonts w:ascii="Times New Roman" w:hAnsi="Times New Roman"/>
          <w:sz w:val="20"/>
        </w:rPr>
      </w:pPr>
      <w:r>
        <w:rPr>
          <w:rFonts w:ascii="Times New Roman" w:hAnsi="Times New Roman"/>
          <w:sz w:val="20"/>
        </w:rPr>
        <w:t xml:space="preserve">On June 16, 2026, ImageneBio, Inc. (the “Company”) held its 2026 Annual Meeting of Stockholders (the “Annual Meeting”). As further described in Item 5.07 below, the stockholders of the Company approved an amendment and restatement of the Company’s 2025 Equity Incentive Plan (the “2025 Plan”) at the Annual Meeting to, among other things, increase the aggregate number of shares of common stock authorized for issuance under the 2025 Plan by 850,000 shares and to include shares of common stock issuable upon conversion or exercise of convertible preferred stock and prefunded warrants in the calculation of the annual automatic share reserve increase (the “Amended Plan”). The Company’s Board of Directors had previously approved the amendment and restatement of the 2025 Plan, subject to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A description of the material terms of the Amended Plan is contained in the section entitled “Proposal 3: Approval of the Amendment and Restatement of the 2025 Equity Incentive Plan” of the Company’s definitive proxy statement for the Annual Meeting filed with the U.S. Securities and Exchange Commission on April 30, 2026 (the “Proxy Statement”). That description is incorporated into this Item 5.02 by reference. Such description, as well as the foregoing description in this Item 5.02, does not purport to be complete, and are qualified in their entirety by reference to the full text of the Amended Plan, which is attached hereto as Exhibit 10.1.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held its Annual Meeting on June 16, 2026. As of April 28, 2026, the record date for the Annual Meeting, there were 11,279,130 outstanding shares of the Company’s voting common stock. A summary of the matters voted upon by stockholders at the Annual Meeting is set forth below.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1: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elected the following two individuals to serve as Class II directors, to hold office until the 2029 Annual Meeting of Stockholders and their successors are duly elected and qualified or until his earlier death, resignation or removal. The final voting results are as follows: </w:t>
      </w:r>
    </w:p>
    <w:p>
      <w:pPr>
        <w:pStyle w:val="TextBody"/>
        <w:bidi w:val="0"/>
        <w:spacing w:before="0" w:after="0"/>
        <w:jc w:val="left"/>
        <w:rPr/>
      </w:pPr>
      <w:r>
        <w:rPr/>
        <w:t> </w:t>
      </w:r>
    </w:p>
    <w:tbl>
      <w:tblPr>
        <w:tblW w:w="6275" w:type="dxa"/>
        <w:jc w:val="left"/>
        <w:tblInd w:w="0" w:type="dxa"/>
        <w:tblLayout w:type="fixed"/>
        <w:tblCellMar>
          <w:top w:w="0" w:type="dxa"/>
          <w:left w:w="0" w:type="dxa"/>
          <w:bottom w:w="0" w:type="dxa"/>
          <w:right w:w="0" w:type="dxa"/>
        </w:tblCellMar>
      </w:tblPr>
      <w:tblGrid>
        <w:gridCol w:w="1820"/>
        <w:gridCol w:w="120"/>
        <w:gridCol w:w="60"/>
        <w:gridCol w:w="980"/>
        <w:gridCol w:w="60"/>
        <w:gridCol w:w="120"/>
        <w:gridCol w:w="78"/>
        <w:gridCol w:w="887"/>
        <w:gridCol w:w="60"/>
        <w:gridCol w:w="120"/>
        <w:gridCol w:w="132"/>
        <w:gridCol w:w="1763"/>
        <w:gridCol w:w="75"/>
      </w:tblGrid>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P. Bonita, M.D.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6,980,671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40,117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763" w:type="dxa"/>
            <w:tcBorders/>
            <w:shd w:fill="CCEEFF" w:val="clear"/>
            <w:vAlign w:val="center"/>
          </w:tcPr>
          <w:p>
            <w:pPr>
              <w:pStyle w:val="TableContents"/>
              <w:bidi w:val="0"/>
              <w:spacing w:before="0" w:after="283"/>
              <w:jc w:val="right"/>
              <w:rPr/>
            </w:pPr>
            <w:r>
              <w:rPr/>
              <w:t>612,769</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Joseph P. Slattery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6,985,414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35,374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763" w:type="dxa"/>
            <w:tcBorders/>
            <w:vAlign w:val="center"/>
          </w:tcPr>
          <w:p>
            <w:pPr>
              <w:pStyle w:val="TableContents"/>
              <w:bidi w:val="0"/>
              <w:spacing w:before="0" w:after="283"/>
              <w:jc w:val="right"/>
              <w:rPr/>
            </w:pPr>
            <w:r>
              <w:rPr/>
              <w:t>612,769</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Proposal 2: Ratification of Appointment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ratified the appointment by the Audit Committee of the Company’s Board of Directors of PricewaterhouseCoopers LLP as the Company’s independent registered public accounting firm for the fiscal year ending December 31, 2026. The final voting results are as follows: </w:t>
      </w:r>
    </w:p>
    <w:p>
      <w:pPr>
        <w:pStyle w:val="TextBody"/>
        <w:bidi w:val="0"/>
        <w:spacing w:before="0" w:after="0"/>
        <w:jc w:val="left"/>
        <w:rPr/>
      </w:pPr>
      <w:r>
        <w:rPr/>
        <w:t> </w:t>
      </w:r>
    </w:p>
    <w:tbl>
      <w:tblPr>
        <w:tblW w:w="2385" w:type="dxa"/>
        <w:jc w:val="left"/>
        <w:tblInd w:w="0" w:type="dxa"/>
        <w:tblLayout w:type="fixed"/>
        <w:tblCellMar>
          <w:top w:w="0" w:type="dxa"/>
          <w:left w:w="0" w:type="dxa"/>
          <w:bottom w:w="0" w:type="dxa"/>
          <w:right w:w="0" w:type="dxa"/>
        </w:tblCellMar>
      </w:tblPr>
      <w:tblGrid>
        <w:gridCol w:w="995"/>
        <w:gridCol w:w="60"/>
        <w:gridCol w:w="680"/>
        <w:gridCol w:w="60"/>
        <w:gridCol w:w="59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r>
      <w:tr>
        <w:trPr/>
        <w:tc>
          <w:tcPr>
            <w:tcW w:w="995" w:type="dxa"/>
            <w:tcBorders/>
            <w:shd w:fill="CCEEFF" w:val="clear"/>
            <w:vAlign w:val="center"/>
          </w:tcPr>
          <w:p>
            <w:pPr>
              <w:pStyle w:val="TableContents"/>
              <w:bidi w:val="0"/>
              <w:spacing w:before="0" w:after="283"/>
              <w:jc w:val="center"/>
              <w:rPr/>
            </w:pPr>
            <w:r>
              <w:rPr/>
              <w:t>7,613,075</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20,477</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5</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Proposal 3: 2025 Amended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approved the Amended Plan. The final voting results are as follows: </w:t>
      </w:r>
    </w:p>
    <w:p>
      <w:pPr>
        <w:pStyle w:val="TextBody"/>
        <w:bidi w:val="0"/>
        <w:spacing w:before="0" w:after="0"/>
        <w:jc w:val="left"/>
        <w:rPr/>
      </w:pPr>
      <w:r>
        <w:rPr/>
        <w:t> </w:t>
      </w:r>
    </w:p>
    <w:tbl>
      <w:tblPr>
        <w:tblW w:w="4130" w:type="dxa"/>
        <w:jc w:val="left"/>
        <w:tblInd w:w="0" w:type="dxa"/>
        <w:tblLayout w:type="fixed"/>
        <w:tblCellMar>
          <w:top w:w="0" w:type="dxa"/>
          <w:left w:w="0" w:type="dxa"/>
          <w:bottom w:w="0" w:type="dxa"/>
          <w:right w:w="0" w:type="dxa"/>
        </w:tblCellMar>
      </w:tblPr>
      <w:tblGrid>
        <w:gridCol w:w="995"/>
        <w:gridCol w:w="60"/>
        <w:gridCol w:w="800"/>
        <w:gridCol w:w="60"/>
        <w:gridCol w:w="800"/>
        <w:gridCol w:w="60"/>
        <w:gridCol w:w="1355"/>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995" w:type="dxa"/>
            <w:tcBorders/>
            <w:shd w:fill="CCEEFF" w:val="clear"/>
            <w:vAlign w:val="center"/>
          </w:tcPr>
          <w:p>
            <w:pPr>
              <w:pStyle w:val="TableContents"/>
              <w:bidi w:val="0"/>
              <w:spacing w:before="0" w:after="283"/>
              <w:jc w:val="center"/>
              <w:rPr/>
            </w:pPr>
            <w:r>
              <w:rPr/>
              <w:t>6,322,909</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591,191</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106,688</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612,769</w:t>
            </w:r>
          </w:p>
        </w:tc>
      </w:tr>
    </w:tbl>
    <w:p>
      <w:pPr>
        <w:pStyle w:val="HorizontalLine"/>
        <w:bidi w:val="0"/>
        <w:jc w:val="left"/>
        <w:rPr/>
      </w:pPr>
      <w:r>
        <w:br w:type="page"/>
      </w:r>
      <w:r>
        <w:rPr/>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620"/>
        <w:gridCol w:w="120"/>
        <w:gridCol w:w="768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14862dex101.htm">
              <w:r>
                <w:rPr>
                  <w:rStyle w:val="InternetLink"/>
                </w:rPr>
                <w:t xml:space="preserve">ImageneBio, Inc. Amended and Restated 2025 Equity Incentive Plan.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808"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230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b/>
              </w:rPr>
            </w:pPr>
            <w:r>
              <w:rPr>
                <w:b/>
              </w:rPr>
              <w:t>IMAGENEBIO,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June 17,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Kristin Yarema</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Kristin Yarema, Ph.D.</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14862dex101.htm"/>
      <w:bookmarkStart w:id="3" w:name="ksd114862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IMAGENEBIO,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2025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THE BOARD OF DIRECTORS: DECEMBER 12, 2024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JULY 15, 2025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BY THE BOARD OF DIRECTORS: APRIL 27, 2026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JUNE 16, 2026 </w:t>
      </w:r>
    </w:p>
    <w:p>
      <w:pPr>
        <w:pStyle w:val="TextBody"/>
        <w:bidi w:val="0"/>
        <w:spacing w:before="240" w:after="0"/>
        <w:jc w:val="left"/>
        <w:rPr>
          <w:rFonts w:ascii="Times New Roman" w:hAnsi="Times New Roman"/>
          <w:b/>
          <w:sz w:val="20"/>
        </w:rPr>
      </w:pPr>
      <w:r>
        <w:rPr>
          <w:rFonts w:ascii="Times New Roman" w:hAnsi="Times New Roman"/>
          <w:b/>
          <w:sz w:val="20"/>
        </w:rPr>
        <w:t xml:space="preserve">1. GENERAL.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Successor to and Continuation of Prior Plan.</w:t>
      </w:r>
      <w:r>
        <w:rPr>
          <w:rFonts w:ascii="Times New Roman" w:hAnsi="Times New Roman"/>
          <w:sz w:val="20"/>
        </w:rPr>
        <w:t xml:space="preserve"> The Plan is the successor to and continuation of the Prior Plan. As of the Effective Date, (i) no 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Adoption Date; Effective Date. </w:t>
      </w:r>
      <w:r>
        <w:rPr>
          <w:rFonts w:ascii="Times New Roman" w:hAnsi="Times New Roman"/>
          <w:sz w:val="20"/>
        </w:rPr>
        <w:t xml:space="preserve">The Plan will come into existence on the Adoption Date, but no Award may be granted prior to the Effective Date. </w:t>
      </w:r>
    </w:p>
    <w:p>
      <w:pPr>
        <w:pStyle w:val="TextBody"/>
        <w:bidi w:val="0"/>
        <w:spacing w:before="360" w:after="0"/>
        <w:jc w:val="left"/>
        <w:rPr>
          <w:rFonts w:ascii="Times New Roman" w:hAnsi="Times New Roman"/>
          <w:b/>
          <w:sz w:val="20"/>
        </w:rPr>
      </w:pPr>
      <w:r>
        <w:rPr>
          <w:rFonts w:ascii="Times New Roman" w:hAnsi="Times New Roman"/>
          <w:b/>
          <w:sz w:val="20"/>
        </w:rPr>
        <w:t xml:space="preserve">2. SHARES SUBJECT TO THE PLAN.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Share Reserve. </w:t>
      </w:r>
      <w:r>
        <w:rPr>
          <w:rFonts w:ascii="Times New Roman" w:hAnsi="Times New Roman"/>
          <w:sz w:val="20"/>
        </w:rPr>
        <w:t xml:space="preserve">Subject to adjustment in accordance with Section 2(c) and any adjustments as necessary to implement any Capitalization Adjustments, the aggregate number of shares of Common Stock that may be issued pursuant to Awards will not exceed the sum of: (i) 850,000 shares that were approved at the Company’s 2026 Annual Meeting of Stockholders, plus (ii) 1,118,167 shares initially reserved under the Plan, plus (iii) 559,081 shares that were added pursuant to the annual automatic share increase on January 1, 2026, plus (iv) up to 0 Returning Shares,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2027 and ending on (and including) January 1, 2036, in an amount equal to five percent (5%) of the sum of (x) the total number of shares of Common Stock outstanding on December 31st of the preceding calendar year plus (y) the total number of shares of Common Stock issuable upon conversion of shares of Convertible Preferred Stock outstanding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December 31st of the preceding calendar year plus (z) the total number of shares of Common Stock issuable upon cash exercise of Prefunded Warrants outstanding on December 31st of the preceding calendar year; provided, however, that the Board may act prior to January 1st of a given year to provide that the increase for such year will be a lesser number of shares of Common Stock.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7,581,744 shares. </w:t>
      </w:r>
    </w:p>
    <w:p>
      <w:pPr>
        <w:pStyle w:val="TextBody"/>
        <w:bidi w:val="0"/>
        <w:spacing w:before="120" w:after="0"/>
        <w:jc w:val="left"/>
        <w:rPr>
          <w:rFonts w:ascii="Times New Roman" w:hAnsi="Times New Roman"/>
          <w:b/>
          <w:sz w:val="20"/>
        </w:rPr>
      </w:pPr>
      <w:r>
        <w:rPr>
          <w:rFonts w:ascii="Times New Roman" w:hAnsi="Times New Roman"/>
          <w:b/>
          <w:sz w:val="20"/>
        </w:rPr>
        <w:t xml:space="preserve">(c) Share Reserve Operation.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Limit Applies to Common Stock Issued Pursuant to Awards. </w:t>
      </w:r>
      <w:r>
        <w:rPr>
          <w:rFonts w:ascii="Times New Roman" w:hAnsi="Times New Roman"/>
          <w:sz w:val="20"/>
        </w:rPr>
        <w:t xml:space="preserve">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sz w:val="20"/>
        </w:rPr>
        <w:t>i.e.</w:t>
      </w:r>
      <w:r>
        <w:rPr>
          <w:rFonts w:ascii="Times New Roman" w:hAnsi="Times New Roman"/>
          <w:sz w:val="20"/>
        </w:rPr>
        <w:t xml:space="preserv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Reversion of Previously Issued Shares of Common Stock to Share Reserve.</w:t>
      </w:r>
      <w:r>
        <w:rPr>
          <w:rFonts w:ascii="Times New Roman" w:hAnsi="Times New Roman"/>
          <w:sz w:val="20"/>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p>
      <w:pPr>
        <w:pStyle w:val="TextBody"/>
        <w:bidi w:val="0"/>
        <w:spacing w:before="360" w:after="0"/>
        <w:jc w:val="left"/>
        <w:rPr>
          <w:rFonts w:ascii="Times New Roman" w:hAnsi="Times New Roman"/>
          <w:b/>
          <w:sz w:val="20"/>
        </w:rPr>
      </w:pPr>
      <w:r>
        <w:rPr>
          <w:rFonts w:ascii="Times New Roman" w:hAnsi="Times New Roman"/>
          <w:b/>
          <w:sz w:val="20"/>
        </w:rPr>
        <w:t xml:space="preserve">3. ELIGIBILITY AND LIMITATIONS.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 Specific Award Limitations.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 </w:t>
      </w:r>
    </w:p>
    <w:p>
      <w:pPr>
        <w:pStyle w:val="TextBody"/>
        <w:bidi w:val="0"/>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Limitations on Nonstatutory Stock Options and SARs.</w:t>
      </w:r>
      <w:r>
        <w:rPr>
          <w:rFonts w:ascii="Times New Roman" w:hAnsi="Times New Roman"/>
          <w:sz w:val="20"/>
        </w:rPr>
        <w:t xml:space="preserve"> Nonstatutory Stock Options and SARs may not be granted to Employees, Directors and Consultants unless the stock underlying such Awards is treated as “service recipient stock” under Section 409A or unless such Awards otherwise comply with the requirements of Section 409A.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Non-Employee Director Compensation Limit. </w:t>
      </w:r>
      <w:r>
        <w:rPr>
          <w:rFonts w:ascii="Times New Roman" w:hAnsi="Times New Roman"/>
          <w:sz w:val="20"/>
        </w:rPr>
        <w:t>The aggregate value of all compensation granted or paid, as applicable, to any individual for service as a Non-Employee Director with respect to any calendar year, 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w:t>
      </w:r>
    </w:p>
    <w:p>
      <w:pPr>
        <w:pStyle w:val="TextBody"/>
        <w:bidi w:val="0"/>
        <w:spacing w:before="360" w:after="0"/>
        <w:jc w:val="left"/>
        <w:rPr>
          <w:rFonts w:ascii="Times New Roman" w:hAnsi="Times New Roman"/>
          <w:b/>
          <w:sz w:val="20"/>
        </w:rPr>
      </w:pPr>
      <w:r>
        <w:rPr>
          <w:rFonts w:ascii="Times New Roman" w:hAnsi="Times New Roman"/>
          <w:b/>
          <w:sz w:val="20"/>
        </w:rPr>
        <w:t xml:space="preserve">4. OPTIONS AND 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Exercise or Strike Price.</w:t>
      </w:r>
      <w:r>
        <w:rPr>
          <w:rFonts w:ascii="Times New Roman" w:hAnsi="Times New Roman"/>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cash or check, bank draft or money order payable to the Company;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12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consideration that may be acceptable to the Board and permissible under Applicable Law.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Transferability.</w:t>
      </w:r>
      <w:r>
        <w:rPr>
          <w:rFonts w:ascii="Times New Roman" w:hAnsi="Times New Roman"/>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applicable Award Agreement or other written agreement between a Participant and the Company or an Affiliate, vesting of Options and SARs will cease upon termination of the Participant’s Continuous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12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such termination if such termination is a termination without Cause (other than any termination due to the Participant’s Disability or death);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such termination if such termination is due to the Participant’s Disability;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12 months following the date of such termination if such termination is due to the Participant’s death; or </w:t>
      </w:r>
    </w:p>
    <w:p>
      <w:pPr>
        <w:pStyle w:val="TextBody"/>
        <w:bidi w:val="0"/>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12 months following the date of the Participant’s death if such death occurs following the date of such termination but during the period such Award is otherwise exercisable (as provided in (i) or (ii) above).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12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Non-Exempt Employees.</w:t>
      </w:r>
      <w:r>
        <w:rPr>
          <w:rFonts w:ascii="Times New Roman" w:hAnsi="Times New Roman"/>
          <w:sz w:val="20"/>
        </w:rPr>
        <w:t xml:space="preserve"> No Option or SAR, whether or not vested, granted to an Employee who is a non-exempt employee for purposes of the U.S. Fair Labor Standards Act of 1938, as amended, will be first 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w:t>
      </w:r>
    </w:p>
    <w:p>
      <w:pPr>
        <w:pStyle w:val="TextBody"/>
        <w:bidi w:val="0"/>
        <w:spacing w:before="12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Whole Shares.</w:t>
      </w:r>
      <w:r>
        <w:rPr>
          <w:rFonts w:ascii="Times New Roman" w:hAnsi="Times New Roman"/>
          <w:sz w:val="20"/>
        </w:rPr>
        <w:t xml:space="preserve"> Options and SARs may be exercised only with respect to whole shares of Common Stock or their equivalents. </w:t>
      </w:r>
    </w:p>
    <w:p>
      <w:pPr>
        <w:pStyle w:val="TextBody"/>
        <w:bidi w:val="0"/>
        <w:spacing w:before="360" w:after="0"/>
        <w:jc w:val="left"/>
        <w:rPr>
          <w:rFonts w:ascii="Times New Roman" w:hAnsi="Times New Roman"/>
          <w:b/>
          <w:sz w:val="20"/>
        </w:rPr>
      </w:pPr>
      <w:r>
        <w:rPr>
          <w:rFonts w:ascii="Times New Roman" w:hAnsi="Times New Roman"/>
          <w:b/>
          <w:sz w:val="20"/>
        </w:rPr>
        <w:t xml:space="preserve">5. AWARDS OTHER THAN OPTIONS AND STOCK APPRECIATION RIGHTS.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Restricted Stock Awards and RSU Awards.</w:t>
      </w:r>
      <w:r>
        <w:rPr>
          <w:rFonts w:ascii="Times New Roman" w:hAnsi="Times New Roman"/>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120" w:after="0"/>
        <w:jc w:val="left"/>
        <w:rPr>
          <w:rFonts w:ascii="Times New Roman" w:hAnsi="Times New Roman"/>
          <w:sz w:val="20"/>
        </w:rPr>
      </w:pPr>
      <w:r>
        <w:rPr>
          <w:rFonts w:ascii="Times New Roman" w:hAnsi="Times New Roman"/>
          <w:b/>
          <w:sz w:val="20"/>
        </w:rPr>
        <w:t>(i) Form of Award.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120" w:after="0"/>
        <w:jc w:val="left"/>
        <w:rPr>
          <w:rFonts w:ascii="Times New Roman" w:hAnsi="Times New Roman"/>
          <w:sz w:val="20"/>
        </w:rPr>
      </w:pPr>
      <w:r>
        <w:rPr>
          <w:rFonts w:ascii="Times New Roman" w:hAnsi="Times New Roman"/>
          <w:b/>
          <w:sz w:val="20"/>
        </w:rPr>
        <w:t>(ii)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bidi w:val="0"/>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w:t>
      </w:r>
    </w:p>
    <w:p>
      <w:pPr>
        <w:pStyle w:val="TextBody"/>
        <w:bidi w:val="0"/>
        <w:spacing w:before="12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w:t>
      </w:r>
      <w:r>
        <w:rPr>
          <w:rFonts w:ascii="Times New Roman" w:hAnsi="Times New Roman"/>
          <w:b/>
          <w:sz w:val="20"/>
        </w:rPr>
        <w:t>Settlement of RSU Awards.</w:t>
      </w:r>
      <w:r>
        <w:rPr>
          <w:rFonts w:ascii="Times New Roman" w:hAnsi="Times New Roman"/>
          <w:sz w:val="20"/>
        </w:rPr>
        <w:t xml:space="preserve"> 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Common Stock,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bidi w:val="0"/>
        <w:spacing w:before="360" w:after="0"/>
        <w:jc w:val="left"/>
        <w:rPr>
          <w:rFonts w:ascii="Times New Roman" w:hAnsi="Times New Roman"/>
          <w:b/>
          <w:sz w:val="20"/>
        </w:rPr>
      </w:pPr>
      <w:r>
        <w:rPr>
          <w:rFonts w:ascii="Times New Roman" w:hAnsi="Times New Roman"/>
          <w:b/>
          <w:sz w:val="20"/>
        </w:rPr>
        <w:t xml:space="preserve">6. ADJUSTMENTS UPON CHANGES IN COMMON STOCK; OTHER CORPORATE EVENTS.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except as set forth in Section 11, unless otherwise provided in the instrument evidencing the Award or any other written agreement between the Company or any Affiliate and the Participant or unless otherwise expressly provided by the Board at the time of grant of an Award.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7. ADMINISTRATION.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bidi w:val="0"/>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12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bidi w:val="0"/>
        <w:spacing w:before="12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12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12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bidi w:val="0"/>
        <w:spacing w:before="12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120" w:after="0"/>
        <w:jc w:val="left"/>
        <w:rPr>
          <w:rFonts w:ascii="Times New Roman" w:hAnsi="Times New Roman"/>
          <w:sz w:val="20"/>
        </w:rPr>
      </w:pPr>
      <w:r>
        <w:rPr>
          <w:rFonts w:ascii="Times New Roman" w:hAnsi="Times New Roman"/>
          <w:b/>
          <w:sz w:val="20"/>
        </w:rPr>
        <w:t>(xi)</w:t>
      </w:r>
      <w:r>
        <w:rPr>
          <w:rFonts w:ascii="Times New Roman" w:hAnsi="Times New Roman"/>
          <w:sz w:val="20"/>
        </w:rPr>
        <w:t xml:space="preserve"> 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 </w:t>
      </w:r>
    </w:p>
    <w:p>
      <w:pPr>
        <w:pStyle w:val="TextBody"/>
        <w:bidi w:val="0"/>
        <w:spacing w:before="120" w:after="0"/>
        <w:jc w:val="left"/>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w:t>
      </w:r>
    </w:p>
    <w:p>
      <w:pPr>
        <w:pStyle w:val="TextBody"/>
        <w:bidi w:val="0"/>
        <w:spacing w:before="120" w:after="0"/>
        <w:jc w:val="left"/>
        <w:rPr>
          <w:rFonts w:ascii="Times New Roman" w:hAnsi="Times New Roman"/>
          <w:b/>
          <w:sz w:val="20"/>
        </w:rPr>
      </w:pPr>
      <w:r>
        <w:rPr>
          <w:rFonts w:ascii="Times New Roman" w:hAnsi="Times New Roman"/>
          <w:b/>
          <w:sz w:val="20"/>
        </w:rPr>
        <w:t xml:space="preserve">(c) Delegation to Committee.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Effect of Board</w:t>
      </w:r>
      <w:r>
        <w:rPr>
          <w:rFonts w:ascii="Times New Roman" w:hAnsi="Times New Roman"/>
          <w:sz w:val="20"/>
        </w:rPr>
        <w:t>’</w:t>
      </w:r>
      <w:r>
        <w:rPr>
          <w:rFonts w:ascii="Times New Roman" w:hAnsi="Times New Roman"/>
          <w:b/>
          <w:sz w:val="20"/>
        </w:rPr>
        <w:t>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Delegation to Other Person or Body.</w:t>
      </w:r>
      <w:r>
        <w:rPr>
          <w:rFonts w:ascii="Times New Roman" w:hAnsi="Times New Roman"/>
          <w:sz w:val="20"/>
        </w:rPr>
        <w:t xml:space="preserve"> The Board or any Committee may delegate to one or more persons or bodies the authority to do one or 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 </w:t>
      </w:r>
    </w:p>
    <w:p>
      <w:pPr>
        <w:pStyle w:val="TextBody"/>
        <w:bidi w:val="0"/>
        <w:spacing w:before="360" w:after="0"/>
        <w:jc w:val="left"/>
        <w:rPr>
          <w:rFonts w:ascii="Times New Roman" w:hAnsi="Times New Roman"/>
          <w:b/>
          <w:sz w:val="20"/>
        </w:rPr>
      </w:pPr>
      <w:r>
        <w:rPr>
          <w:rFonts w:ascii="Times New Roman" w:hAnsi="Times New Roman"/>
          <w:b/>
          <w:sz w:val="20"/>
        </w:rPr>
        <w:t xml:space="preserve">8. TAX WITHHOLDING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Tax-Related Items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No Obligation to Notify or Minimize Taxes; No Liability to Claims. </w:t>
      </w:r>
      <w:r>
        <w:rPr>
          <w:rFonts w:ascii="Times New Roman" w:hAnsi="Times New Roman"/>
          <w:sz w:val="20"/>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U.S. Internal Revenue Service and there is no other impermissible deferral of compensation associated with the Award. Additionally, as a condition to accepting an Option or SAR granted under the Plan, each Participant agrees to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Withholding Indemnification. </w:t>
      </w:r>
      <w:r>
        <w:rPr>
          <w:rFonts w:ascii="Times New Roman" w:hAnsi="Times New Roman"/>
          <w:sz w:val="20"/>
        </w:rPr>
        <w:t xml:space="preserve">The Company and/or its Affiliate may withhold or account for Tax-Related Items by considering statutory or other withholding rates, including minimum or maximum rates 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 </w:t>
      </w:r>
    </w:p>
    <w:p>
      <w:pPr>
        <w:pStyle w:val="TextBody"/>
        <w:bidi w:val="0"/>
        <w:spacing w:before="360" w:after="0"/>
        <w:jc w:val="left"/>
        <w:rPr>
          <w:rFonts w:ascii="Times New Roman" w:hAnsi="Times New Roman"/>
          <w:b/>
          <w:sz w:val="20"/>
        </w:rPr>
      </w:pPr>
      <w:r>
        <w:rPr>
          <w:rFonts w:ascii="Times New Roman" w:hAnsi="Times New Roman"/>
          <w:b/>
          <w:sz w:val="20"/>
        </w:rPr>
        <w:t xml:space="preserve">9. MISCELLANEOUS.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12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12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12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bidi w:val="0"/>
        <w:spacing w:before="12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12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sz w:val="20"/>
        </w:rPr>
        <w:t xml:space="preserve">Section 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12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sz w:val="20"/>
        </w:rPr>
        <w:t xml:space="preserve">Choice of Law.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360" w:after="0"/>
        <w:jc w:val="left"/>
        <w:rPr>
          <w:rFonts w:ascii="Times New Roman" w:hAnsi="Times New Roman"/>
          <w:b/>
          <w:sz w:val="20"/>
        </w:rPr>
      </w:pPr>
      <w:r>
        <w:rPr>
          <w:rFonts w:ascii="Times New Roman" w:hAnsi="Times New Roman"/>
          <w:b/>
          <w:sz w:val="20"/>
        </w:rPr>
        <w:t xml:space="preserve">10. COVENANTS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11. ADDITIONAL RULES FOR AWARDS SUBJECT TO SECTION 409A.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Application. </w:t>
      </w:r>
      <w:r>
        <w:rPr>
          <w:rFonts w:ascii="Times New Roman" w:hAnsi="Times New Roman"/>
          <w:sz w:val="20"/>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Non-Exempt Awards Subject to Non-Exempt Severance Arrangements.</w:t>
      </w:r>
      <w:r>
        <w:rPr>
          <w:rFonts w:ascii="Times New Roman" w:hAnsi="Times New Roman"/>
          <w:sz w:val="20"/>
        </w:rPr>
        <w:t xml:space="preserve"> To the extent a Non-Exempt Award is subject to Section 409A due to application of a Non-Exempt Severance Arrangement, the following provisions of this subsection (b) apply.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six-month period.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U.S. Treasury Regulations Section 1.409A-3(a)(4).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Treatment of Non-Exempt Awards Upon a Corporate Transaction for Employees and Consultants.</w:t>
      </w:r>
      <w:r>
        <w:rPr>
          <w:rFonts w:ascii="Times New Roman" w:hAnsi="Times New Roman"/>
          <w:sz w:val="20"/>
        </w:rPr>
        <w:t xml:space="preserve"> 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Vested Non-Exempt Awards.</w:t>
      </w:r>
      <w:r>
        <w:rPr>
          <w:rFonts w:ascii="Times New Roman" w:hAnsi="Times New Roman"/>
          <w:sz w:val="20"/>
        </w:rPr>
        <w:t xml:space="preserve"> The following provisions shall apply to any Vested Non-Exempt Award in connection with a Corporate Transaction: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Unvested Non-Exempt Awards.</w:t>
      </w:r>
      <w:r>
        <w:rPr>
          <w:rFonts w:ascii="Times New Roman" w:hAnsi="Times New Roman"/>
          <w:sz w:val="20"/>
        </w:rPr>
        <w:t xml:space="preserve"> The following provisions shall apply to any Unvested Non-Exempt Award unless otherwise determined by the Board pursuant to subsection (e) of this Section.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foregoing treatment shall apply with respect to all Unvested Non-Exempt Awards upon any Corporate Transaction, and regardless of whether or not such Corporate Transaction is also a Section 409A Change in Control.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Treatment of Non-Exempt Awards Upon a Corporate Transaction for Non-Employee Directors.</w:t>
      </w:r>
      <w:r>
        <w:rPr>
          <w:rFonts w:ascii="Times New Roman" w:hAnsi="Times New Roman"/>
          <w:sz w:val="20"/>
        </w:rPr>
        <w:t xml:space="preserve"> 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the RSU Award is a Non-Exempt Award, then the provisions in this Section 11(e) shall apply and supersede anything to the contrary that may be set forth in the Plan or the Award Agreement with respect to the permitted treatment of such Non-Exempt Award: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Company explicitly reserves the right to earlier settle any Non-Exempt Award to the extent permitted and in compliance with the requirements of Section 409A, including pursuant to any of the exemptions available in U.S. Treasury Regulations Section 1.409A-3(j)(4)(ix).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 </w:t>
      </w:r>
    </w:p>
    <w:p>
      <w:pPr>
        <w:pStyle w:val="TextBody"/>
        <w:bidi w:val="0"/>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 </w:t>
      </w:r>
    </w:p>
    <w:p>
      <w:pPr>
        <w:pStyle w:val="TextBody"/>
        <w:bidi w:val="0"/>
        <w:spacing w:before="360" w:after="0"/>
        <w:jc w:val="left"/>
        <w:rPr>
          <w:rFonts w:ascii="Times New Roman" w:hAnsi="Times New Roman"/>
          <w:b/>
          <w:sz w:val="20"/>
        </w:rPr>
      </w:pPr>
      <w:r>
        <w:rPr>
          <w:rFonts w:ascii="Times New Roman" w:hAnsi="Times New Roman"/>
          <w:b/>
          <w:sz w:val="20"/>
        </w:rPr>
        <w:t xml:space="preserve">12. SEVERABILITY. </w:t>
      </w:r>
    </w:p>
    <w:p>
      <w:pPr>
        <w:pStyle w:val="TextBody"/>
        <w:bidi w:val="0"/>
        <w:spacing w:before="120" w:after="0"/>
        <w:jc w:val="left"/>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360" w:after="0"/>
        <w:jc w:val="left"/>
        <w:rPr>
          <w:rFonts w:ascii="Times New Roman" w:hAnsi="Times New Roman"/>
          <w:b/>
          <w:sz w:val="20"/>
        </w:rPr>
      </w:pPr>
      <w:r>
        <w:rPr>
          <w:rFonts w:ascii="Times New Roman" w:hAnsi="Times New Roman"/>
          <w:b/>
          <w:sz w:val="20"/>
        </w:rPr>
        <w:t xml:space="preserve">13. TERMINATION OF THE PLAN. </w:t>
      </w:r>
    </w:p>
    <w:p>
      <w:pPr>
        <w:pStyle w:val="TextBody"/>
        <w:bidi w:val="0"/>
        <w:spacing w:before="12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14.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Acquiring Entity</w:t>
      </w:r>
      <w:r>
        <w:rPr>
          <w:rFonts w:ascii="Times New Roman" w:hAnsi="Times New Roman"/>
          <w:sz w:val="20"/>
        </w:rPr>
        <w:t xml:space="preserve">” means the surviving or acquiring corporation (or its parent company) in connection with a Corporate Transaction.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Adoption Date</w:t>
      </w:r>
      <w:r>
        <w:rPr>
          <w:rFonts w:ascii="Times New Roman" w:hAnsi="Times New Roman"/>
          <w:sz w:val="20"/>
        </w:rPr>
        <w:t xml:space="preserve">” means the date the Plan is first approved by the Board or Compensation Committee, as applicable.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an RSU Award, a SAR, a Performance Award or any Other Award).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w:t>
      </w:r>
    </w:p>
    <w:p>
      <w:pPr>
        <w:pStyle w:val="TextBody"/>
        <w:bidi w:val="0"/>
        <w:spacing w:before="12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12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12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Cause</w:t>
      </w:r>
      <w:r>
        <w:rPr>
          <w:rFonts w:ascii="Times New Roman" w:hAnsi="Times New Roman"/>
          <w:sz w:val="20"/>
        </w:rPr>
        <w:t xml:space="preserve">” has the meaning ascribed to such term in any written agreement between a Participant and the Company or any Affiliate of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or in each case the equivalent in any relevant jurisdiction; (iii) the Participant’s failure to perform the Participant’s assigned duties and responsibilities to the reasonable satisfaction of the Company or any Affiliate of the Company which failure continues, in the reasonable judgment of the Company, after written notice given to the Participant by the Company or any Affiliate of the Company; (iv) the Participant’s gross negligence, willful misconduct or insubordination with respect to the Company or any Affiliate of the Company; or (v) the Participant’s material violation of any provision of any agreement(s) between the Participant and the Company or any Affiliate of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any Affiliate of the Company or such Participant for any other purpose. </w:t>
      </w:r>
    </w:p>
    <w:p>
      <w:pPr>
        <w:pStyle w:val="TextBody"/>
        <w:bidi w:val="0"/>
        <w:spacing w:before="12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individuals who, on the Adoption Date,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 </w:t>
      </w:r>
    </w:p>
    <w:p>
      <w:pPr>
        <w:pStyle w:val="TextBody"/>
        <w:bidi w:val="0"/>
        <w:spacing w:before="12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12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Committee</w:t>
      </w:r>
      <w:r>
        <w:rPr>
          <w:rFonts w:ascii="Times New Roman" w:hAnsi="Times New Roman"/>
          <w:sz w:val="20"/>
        </w:rPr>
        <w:t xml:space="preserve">” means the Compensation Committee and any other committee of one or more Directors to whom authority has been delegated by the Board or Compensation Committee in accordance with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12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 xml:space="preserve">” means Ikena Oncology, Inc., a Delaware corporation, and as of the Effective Date, shall mean ImageneBio, Inc., a Delaware corporation, and any successor corporation thereto. </w:t>
      </w:r>
    </w:p>
    <w:p>
      <w:pPr>
        <w:pStyle w:val="TextBody"/>
        <w:bidi w:val="0"/>
        <w:spacing w:before="12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12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12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Continuous Service</w:t>
      </w:r>
      <w:r>
        <w:rPr>
          <w:rFonts w:ascii="Times New Roman" w:hAnsi="Times New Roman"/>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 </w:t>
      </w:r>
    </w:p>
    <w:p>
      <w:pPr>
        <w:pStyle w:val="TextBody"/>
        <w:bidi w:val="0"/>
        <w:spacing w:before="12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Convertible Preferred Stock</w:t>
      </w:r>
      <w:r>
        <w:rPr>
          <w:rFonts w:ascii="Times New Roman" w:hAnsi="Times New Roman"/>
          <w:sz w:val="20"/>
        </w:rPr>
        <w:t xml:space="preserve">” means the preferred stock of the Company that is convertible into shares of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 </w:t>
      </w:r>
    </w:p>
    <w:p>
      <w:pPr>
        <w:pStyle w:val="TextBody"/>
        <w:bidi w:val="0"/>
        <w:spacing w:before="12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determine</w:t>
      </w:r>
      <w:r>
        <w:rPr>
          <w:rFonts w:ascii="Times New Roman" w:hAnsi="Times New Roman"/>
          <w:sz w:val="20"/>
        </w:rPr>
        <w:t>” or “</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bidi w:val="0"/>
        <w:spacing w:before="12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12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12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i/>
          <w:sz w:val="20"/>
        </w:rPr>
        <w:t>Effective Date</w:t>
      </w:r>
      <w:r>
        <w:rPr>
          <w:rFonts w:ascii="Times New Roman" w:hAnsi="Times New Roman"/>
          <w:sz w:val="20"/>
        </w:rPr>
        <w:t xml:space="preserve">” means the date of the closing of the transactions contemplated by that Agreement and Plan of Merger, dated December 23, 2024, between the Ikena Oncology, Inc., Insight Merger Sub I, an exempted company with limited liability incorporated and existing under the laws of the Cayman Islands and direct wholly owned subsidiary of Ikena Oncology, Inc., Insight Merger Sub II, an exempted company with limited liability incorporated and existing under the laws of the Cayman Islands and direct wholly owned subsidiary of Ikena Oncology, Inc., and Inmagene Biopharmaceuticals, an exempted company with limited liability incorporated and existing under the laws of the Cayman Islands.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12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Employer</w:t>
      </w:r>
      <w:r>
        <w:rPr>
          <w:rFonts w:ascii="Times New Roman" w:hAnsi="Times New Roman"/>
          <w:sz w:val="20"/>
        </w:rPr>
        <w:t xml:space="preserve">” means the Company or the Affiliate that employs the Participant. </w:t>
      </w:r>
    </w:p>
    <w:p>
      <w:pPr>
        <w:pStyle w:val="TextBody"/>
        <w:bidi w:val="0"/>
        <w:spacing w:before="12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12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12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12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12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12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12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12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Non-Exempt Award</w:t>
      </w:r>
      <w:r>
        <w:rPr>
          <w:rFonts w:ascii="Times New Roman" w:hAnsi="Times New Roman"/>
          <w:sz w:val="20"/>
        </w:rPr>
        <w:t xml:space="preserve">” means any Award that is subject to, and not exempt from, Section 409A, including as the result of (i) a deferral of the issuance of the shares subject to the Award which is elected by the Participant or imposed by the Company, or (ii) the terms of any Non-Exempt Severance Arrangement. </w:t>
      </w:r>
    </w:p>
    <w:p>
      <w:pPr>
        <w:pStyle w:val="TextBody"/>
        <w:bidi w:val="0"/>
        <w:spacing w:before="12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Non-Exempt Director Award</w:t>
      </w:r>
      <w:r>
        <w:rPr>
          <w:rFonts w:ascii="Times New Roman" w:hAnsi="Times New Roman"/>
          <w:sz w:val="20"/>
        </w:rPr>
        <w:t xml:space="preserve">” means a Non-Exempt Award granted to a Participant who was a Director but not an Employee on the applicable grant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(ll)</w:t>
      </w:r>
      <w:r>
        <w:rPr>
          <w:rFonts w:ascii="Times New Roman" w:hAnsi="Times New Roman"/>
          <w:sz w:val="20"/>
        </w:rPr>
        <w:t xml:space="preserve"> “</w:t>
      </w:r>
      <w:r>
        <w:rPr>
          <w:rFonts w:ascii="Times New Roman" w:hAnsi="Times New Roman"/>
          <w:b/>
          <w:i/>
          <w:sz w:val="20"/>
        </w:rPr>
        <w:t>Non-Exempt Severance Arrangement</w:t>
      </w:r>
      <w:r>
        <w:rPr>
          <w:rFonts w:ascii="Times New Roman" w:hAnsi="Times New Roman"/>
          <w:sz w:val="20"/>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hAnsi="Times New Roman"/>
          <w:b/>
          <w:i/>
          <w:sz w:val="20"/>
        </w:rPr>
        <w:t>Separation from Service</w:t>
      </w:r>
      <w:r>
        <w:rPr>
          <w:rFonts w:ascii="Times New Roman" w:hAnsi="Times New Roman"/>
          <w:sz w:val="20"/>
        </w:rPr>
        <w:t xml:space="preserve">”) and such severance benefit does not satisfy the requirements for an exemption from application of Section 409A provided under U.S. Treasury Regulations Section 1.409A-1(b)(4), 1.409A-1(b)(9) or otherwise. </w:t>
      </w:r>
    </w:p>
    <w:p>
      <w:pPr>
        <w:pStyle w:val="TextBody"/>
        <w:bidi w:val="0"/>
        <w:spacing w:before="120" w:after="0"/>
        <w:jc w:val="left"/>
        <w:rPr>
          <w:rFonts w:ascii="Times New Roman" w:hAnsi="Times New Roman"/>
          <w:sz w:val="20"/>
        </w:rPr>
      </w:pPr>
      <w:r>
        <w:rPr>
          <w:rFonts w:ascii="Times New Roman" w:hAnsi="Times New Roman"/>
          <w:b/>
          <w:sz w:val="20"/>
        </w:rPr>
        <w:t>(mm)</w:t>
      </w:r>
      <w:r>
        <w:rPr>
          <w:rFonts w:ascii="Times New Roman" w:hAnsi="Times New Roman"/>
          <w:sz w:val="20"/>
        </w:rPr>
        <w:t xml:space="preserve">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120" w:after="0"/>
        <w:jc w:val="left"/>
        <w:rPr>
          <w:rFonts w:ascii="Times New Roman" w:hAnsi="Times New Roman"/>
          <w:sz w:val="20"/>
        </w:rPr>
      </w:pPr>
      <w:r>
        <w:rPr>
          <w:rFonts w:ascii="Times New Roman" w:hAnsi="Times New Roman"/>
          <w:b/>
          <w:sz w:val="20"/>
        </w:rPr>
        <w:t>(nn)</w:t>
      </w:r>
      <w:r>
        <w:rPr>
          <w:rFonts w:ascii="Times New Roman" w:hAnsi="Times New Roman"/>
          <w:sz w:val="20"/>
        </w:rPr>
        <w:t xml:space="preserve">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120" w:after="0"/>
        <w:jc w:val="left"/>
        <w:rPr>
          <w:rFonts w:ascii="Times New Roman" w:hAnsi="Times New Roman"/>
          <w:sz w:val="20"/>
        </w:rPr>
      </w:pPr>
      <w:r>
        <w:rPr>
          <w:rFonts w:ascii="Times New Roman" w:hAnsi="Times New Roman"/>
          <w:b/>
          <w:sz w:val="20"/>
        </w:rPr>
        <w:t>(oo)</w:t>
      </w:r>
      <w:r>
        <w:rPr>
          <w:rFonts w:ascii="Times New Roman" w:hAnsi="Times New Roman"/>
          <w:sz w:val="20"/>
        </w:rPr>
        <w:t xml:space="preserve">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bidi w:val="0"/>
        <w:spacing w:before="120" w:after="0"/>
        <w:jc w:val="left"/>
        <w:rPr>
          <w:rFonts w:ascii="Times New Roman" w:hAnsi="Times New Roman"/>
          <w:sz w:val="20"/>
        </w:rPr>
      </w:pPr>
      <w:r>
        <w:rPr>
          <w:rFonts w:ascii="Times New Roman" w:hAnsi="Times New Roman"/>
          <w:b/>
          <w:sz w:val="20"/>
        </w:rPr>
        <w:t>(pp)</w:t>
      </w:r>
      <w:r>
        <w:rPr>
          <w:rFonts w:ascii="Times New Roman" w:hAnsi="Times New Roman"/>
          <w:sz w:val="20"/>
        </w:rPr>
        <w:t xml:space="preserve"> “</w:t>
      </w:r>
      <w:r>
        <w:rPr>
          <w:rFonts w:ascii="Times New Roman" w:hAnsi="Times New Roman"/>
          <w:b/>
          <w:i/>
          <w:sz w:val="20"/>
        </w:rPr>
        <w:t>Option Agreement</w:t>
      </w:r>
      <w:r>
        <w:rPr>
          <w:rFonts w:ascii="Times New Roman" w:hAnsi="Times New Roman"/>
          <w:sz w:val="20"/>
        </w:rPr>
        <w:t xml:space="preserve">”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 </w:t>
      </w:r>
    </w:p>
    <w:p>
      <w:pPr>
        <w:pStyle w:val="TextBody"/>
        <w:bidi w:val="0"/>
        <w:spacing w:before="120" w:after="0"/>
        <w:jc w:val="left"/>
        <w:rPr>
          <w:rFonts w:ascii="Times New Roman" w:hAnsi="Times New Roman"/>
          <w:sz w:val="20"/>
        </w:rPr>
      </w:pPr>
      <w:r>
        <w:rPr>
          <w:rFonts w:ascii="Times New Roman" w:hAnsi="Times New Roman"/>
          <w:b/>
          <w:sz w:val="20"/>
        </w:rPr>
        <w:t>(qq)</w:t>
      </w:r>
      <w:r>
        <w:rPr>
          <w:rFonts w:ascii="Times New Roman" w:hAnsi="Times New Roman"/>
          <w:sz w:val="20"/>
        </w:rPr>
        <w:t xml:space="preserve">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120" w:after="0"/>
        <w:jc w:val="left"/>
        <w:rPr>
          <w:rFonts w:ascii="Times New Roman" w:hAnsi="Times New Roman"/>
          <w:sz w:val="20"/>
        </w:rPr>
      </w:pPr>
      <w:r>
        <w:rPr>
          <w:rFonts w:ascii="Times New Roman" w:hAnsi="Times New Roman"/>
          <w:b/>
          <w:sz w:val="20"/>
        </w:rPr>
        <w:t>(rr)</w:t>
      </w:r>
      <w:r>
        <w:rPr>
          <w:rFonts w:ascii="Times New Roman" w:hAnsi="Times New Roman"/>
          <w:sz w:val="20"/>
        </w:rPr>
        <w:t xml:space="preserve"> “</w:t>
      </w:r>
      <w:r>
        <w:rPr>
          <w:rFonts w:ascii="Times New Roman" w:hAnsi="Times New Roman"/>
          <w:b/>
          <w:i/>
          <w:sz w:val="20"/>
        </w:rPr>
        <w:t>Other Award</w:t>
      </w:r>
      <w:r>
        <w:rPr>
          <w:rFonts w:ascii="Times New Roman" w:hAnsi="Times New Roman"/>
          <w:sz w:val="20"/>
        </w:rPr>
        <w:t xml:space="preserve">”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 </w:t>
      </w:r>
    </w:p>
    <w:p>
      <w:pPr>
        <w:pStyle w:val="TextBody"/>
        <w:bidi w:val="0"/>
        <w:spacing w:before="120" w:after="0"/>
        <w:jc w:val="left"/>
        <w:rPr>
          <w:rFonts w:ascii="Times New Roman" w:hAnsi="Times New Roman"/>
          <w:sz w:val="20"/>
        </w:rPr>
      </w:pPr>
      <w:r>
        <w:rPr>
          <w:rFonts w:ascii="Times New Roman" w:hAnsi="Times New Roman"/>
          <w:b/>
          <w:sz w:val="20"/>
        </w:rPr>
        <w:t>(ss)</w:t>
      </w:r>
      <w:r>
        <w:rPr>
          <w:rFonts w:ascii="Times New Roman" w:hAnsi="Times New Roman"/>
          <w:sz w:val="20"/>
        </w:rPr>
        <w:t xml:space="preserve"> “</w:t>
      </w:r>
      <w:r>
        <w:rPr>
          <w:rFonts w:ascii="Times New Roman" w:hAnsi="Times New Roman"/>
          <w:b/>
          <w:i/>
          <w:sz w:val="20"/>
        </w:rPr>
        <w:t>Other Award Agreement</w:t>
      </w:r>
      <w:r>
        <w:rPr>
          <w:rFonts w:ascii="Times New Roman" w:hAnsi="Times New Roman"/>
          <w:sz w:val="20"/>
        </w:rPr>
        <w:t xml:space="preserve">” means a written or electronic agreement between the Company and a holder of an Other Award evidencing the terms and conditions of an Other Award grant. Each Other Award Agreement will be subject to the terms and conditions of the Plan. </w:t>
      </w:r>
    </w:p>
    <w:p>
      <w:pPr>
        <w:pStyle w:val="TextBody"/>
        <w:bidi w:val="0"/>
        <w:spacing w:before="120" w:after="0"/>
        <w:jc w:val="left"/>
        <w:rPr>
          <w:rFonts w:ascii="Times New Roman" w:hAnsi="Times New Roman"/>
          <w:sz w:val="20"/>
        </w:rPr>
      </w:pPr>
      <w:r>
        <w:rPr>
          <w:rFonts w:ascii="Times New Roman" w:hAnsi="Times New Roman"/>
          <w:b/>
          <w:sz w:val="20"/>
        </w:rPr>
        <w:t>(tt)</w:t>
      </w:r>
      <w:r>
        <w:rPr>
          <w:rFonts w:ascii="Times New Roman" w:hAnsi="Times New Roman"/>
          <w:sz w:val="20"/>
        </w:rPr>
        <w:t xml:space="preserve">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or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120" w:after="0"/>
        <w:jc w:val="left"/>
        <w:rPr>
          <w:rFonts w:ascii="Times New Roman" w:hAnsi="Times New Roman"/>
          <w:sz w:val="20"/>
        </w:rPr>
      </w:pPr>
      <w:r>
        <w:rPr>
          <w:rFonts w:ascii="Times New Roman" w:hAnsi="Times New Roman"/>
          <w:b/>
          <w:sz w:val="20"/>
        </w:rPr>
        <w:t>(uu)</w:t>
      </w:r>
      <w:r>
        <w:rPr>
          <w:rFonts w:ascii="Times New Roman" w:hAnsi="Times New Roman"/>
          <w:sz w:val="20"/>
        </w:rPr>
        <w:t xml:space="preserve">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(vv)</w:t>
      </w:r>
      <w:r>
        <w:rPr>
          <w:rFonts w:ascii="Times New Roman" w:hAnsi="Times New Roman"/>
          <w:sz w:val="20"/>
        </w:rPr>
        <w:t xml:space="preserve">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120" w:after="0"/>
        <w:jc w:val="left"/>
        <w:rPr>
          <w:rFonts w:ascii="Times New Roman" w:hAnsi="Times New Roman"/>
          <w:sz w:val="20"/>
        </w:rPr>
      </w:pPr>
      <w:r>
        <w:rPr>
          <w:rFonts w:ascii="Times New Roman" w:hAnsi="Times New Roman"/>
          <w:b/>
          <w:sz w:val="20"/>
        </w:rPr>
        <w:t>(ww)</w:t>
      </w:r>
      <w:r>
        <w:rPr>
          <w:rFonts w:ascii="Times New Roman" w:hAnsi="Times New Roman"/>
          <w:sz w:val="20"/>
        </w:rPr>
        <w:t xml:space="preserve"> “</w:t>
      </w:r>
      <w:r>
        <w:rPr>
          <w:rFonts w:ascii="Times New Roman" w:hAnsi="Times New Roman"/>
          <w:b/>
          <w:i/>
          <w:sz w:val="20"/>
        </w:rPr>
        <w:t>Performance Criteria</w:t>
      </w:r>
      <w:r>
        <w:rPr>
          <w:rFonts w:ascii="Times New Roman" w:hAnsi="Times New Roman"/>
          <w:sz w:val="20"/>
        </w:rPr>
        <w:t xml:space="preserve">”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 </w:t>
      </w:r>
    </w:p>
    <w:p>
      <w:pPr>
        <w:pStyle w:val="TextBody"/>
        <w:bidi w:val="0"/>
        <w:spacing w:before="120" w:after="0"/>
        <w:jc w:val="left"/>
        <w:rPr>
          <w:rFonts w:ascii="Times New Roman" w:hAnsi="Times New Roman"/>
          <w:sz w:val="20"/>
        </w:rPr>
      </w:pPr>
      <w:r>
        <w:rPr>
          <w:rFonts w:ascii="Times New Roman" w:hAnsi="Times New Roman"/>
          <w:b/>
          <w:sz w:val="20"/>
        </w:rPr>
        <w:t>(xx)</w:t>
      </w:r>
      <w:r>
        <w:rPr>
          <w:rFonts w:ascii="Times New Roman" w:hAnsi="Times New Roman"/>
          <w:sz w:val="20"/>
        </w:rPr>
        <w:t xml:space="preserve"> “</w:t>
      </w:r>
      <w:r>
        <w:rPr>
          <w:rFonts w:ascii="Times New Roman" w:hAnsi="Times New Roman"/>
          <w:b/>
          <w:i/>
          <w:sz w:val="20"/>
        </w:rPr>
        <w:t>Performance Goals</w:t>
      </w:r>
      <w:r>
        <w:rPr>
          <w:rFonts w:ascii="Times New Roman" w:hAnsi="Times New Roman"/>
          <w:sz w:val="20"/>
        </w:rPr>
        <w:t xml:space="preserve">”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 </w:t>
      </w:r>
    </w:p>
    <w:p>
      <w:pPr>
        <w:pStyle w:val="TextBody"/>
        <w:bidi w:val="0"/>
        <w:spacing w:before="120" w:after="0"/>
        <w:jc w:val="left"/>
        <w:rPr>
          <w:rFonts w:ascii="Times New Roman" w:hAnsi="Times New Roman"/>
          <w:sz w:val="20"/>
        </w:rPr>
      </w:pPr>
      <w:r>
        <w:rPr>
          <w:rFonts w:ascii="Times New Roman" w:hAnsi="Times New Roman"/>
          <w:b/>
          <w:sz w:val="20"/>
        </w:rPr>
        <w:t>(yy)</w:t>
      </w:r>
      <w:r>
        <w:rPr>
          <w:rFonts w:ascii="Times New Roman" w:hAnsi="Times New Roman"/>
          <w:sz w:val="20"/>
        </w:rPr>
        <w:t xml:space="preserve">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120" w:after="0"/>
        <w:jc w:val="left"/>
        <w:rPr>
          <w:rFonts w:ascii="Times New Roman" w:hAnsi="Times New Roman"/>
          <w:sz w:val="20"/>
        </w:rPr>
      </w:pPr>
      <w:r>
        <w:rPr>
          <w:rFonts w:ascii="Times New Roman" w:hAnsi="Times New Roman"/>
          <w:b/>
          <w:sz w:val="20"/>
        </w:rPr>
        <w:t>(zz)</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means this Ikena Oncology, Inc. Amended and Restated 2025 Equity Incentive Plan, as amended from time to time. </w:t>
      </w:r>
    </w:p>
    <w:p>
      <w:pPr>
        <w:pStyle w:val="TextBody"/>
        <w:bidi w:val="0"/>
        <w:spacing w:before="120" w:after="0"/>
        <w:jc w:val="left"/>
        <w:rPr>
          <w:rFonts w:ascii="Times New Roman" w:hAnsi="Times New Roman"/>
          <w:sz w:val="20"/>
        </w:rPr>
      </w:pPr>
      <w:r>
        <w:rPr>
          <w:rFonts w:ascii="Times New Roman" w:hAnsi="Times New Roman"/>
          <w:b/>
          <w:sz w:val="20"/>
        </w:rPr>
        <w:t>(aaa)</w:t>
      </w:r>
      <w:r>
        <w:rPr>
          <w:rFonts w:ascii="Times New Roman" w:hAnsi="Times New Roman"/>
          <w:sz w:val="20"/>
        </w:rPr>
        <w:t xml:space="preserve">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day-to-day operations of the Plan and the Company’s other equity incentive programs. </w:t>
      </w:r>
    </w:p>
    <w:p>
      <w:pPr>
        <w:pStyle w:val="TextBody"/>
        <w:bidi w:val="0"/>
        <w:spacing w:before="120" w:after="0"/>
        <w:jc w:val="left"/>
        <w:rPr>
          <w:rFonts w:ascii="Times New Roman" w:hAnsi="Times New Roman"/>
          <w:sz w:val="20"/>
        </w:rPr>
      </w:pPr>
      <w:r>
        <w:rPr>
          <w:rFonts w:ascii="Times New Roman" w:hAnsi="Times New Roman"/>
          <w:b/>
          <w:sz w:val="20"/>
        </w:rPr>
        <w:t>(bbb)</w:t>
      </w:r>
      <w:r>
        <w:rPr>
          <w:rFonts w:ascii="Times New Roman" w:hAnsi="Times New Roman"/>
          <w:sz w:val="20"/>
        </w:rPr>
        <w:t xml:space="preserve">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bidi w:val="0"/>
        <w:spacing w:before="120" w:after="0"/>
        <w:jc w:val="left"/>
        <w:rPr>
          <w:rFonts w:ascii="Times New Roman" w:hAnsi="Times New Roman"/>
          <w:sz w:val="20"/>
        </w:rPr>
      </w:pPr>
      <w:r>
        <w:rPr>
          <w:rFonts w:ascii="Times New Roman" w:hAnsi="Times New Roman"/>
          <w:b/>
          <w:sz w:val="20"/>
        </w:rPr>
        <w:t>(ccc)</w:t>
      </w:r>
      <w:r>
        <w:rPr>
          <w:rFonts w:ascii="Times New Roman" w:hAnsi="Times New Roman"/>
          <w:sz w:val="20"/>
        </w:rPr>
        <w:t xml:space="preserve"> “</w:t>
      </w:r>
      <w:r>
        <w:rPr>
          <w:rFonts w:ascii="Times New Roman" w:hAnsi="Times New Roman"/>
          <w:b/>
          <w:i/>
          <w:sz w:val="20"/>
        </w:rPr>
        <w:t>Prefunded Warrants</w:t>
      </w:r>
      <w:r>
        <w:rPr>
          <w:rFonts w:ascii="Times New Roman" w:hAnsi="Times New Roman"/>
          <w:sz w:val="20"/>
        </w:rPr>
        <w:t xml:space="preserve">” means warrants to purchase shares of Common Stock where all but a nominal portion of the exercise price is prefunded by the purchasers of the warrants in connection with the sale and issuance of such warrants. </w:t>
      </w:r>
    </w:p>
    <w:p>
      <w:pPr>
        <w:pStyle w:val="TextBody"/>
        <w:bidi w:val="0"/>
        <w:spacing w:before="120" w:after="0"/>
        <w:jc w:val="left"/>
        <w:rPr>
          <w:rFonts w:ascii="Times New Roman" w:hAnsi="Times New Roman"/>
          <w:sz w:val="20"/>
        </w:rPr>
      </w:pPr>
      <w:r>
        <w:rPr>
          <w:rFonts w:ascii="Times New Roman" w:hAnsi="Times New Roman"/>
          <w:b/>
          <w:sz w:val="20"/>
        </w:rPr>
        <w:t>(ddd)</w:t>
      </w:r>
      <w:r>
        <w:rPr>
          <w:rFonts w:ascii="Times New Roman" w:hAnsi="Times New Roman"/>
          <w:sz w:val="20"/>
        </w:rPr>
        <w:t xml:space="preserve"> “</w:t>
      </w:r>
      <w:r>
        <w:rPr>
          <w:rFonts w:ascii="Times New Roman" w:hAnsi="Times New Roman"/>
          <w:b/>
          <w:i/>
          <w:sz w:val="20"/>
        </w:rPr>
        <w:t>Prior Plan</w:t>
      </w:r>
      <w:r>
        <w:rPr>
          <w:rFonts w:ascii="Times New Roman" w:hAnsi="Times New Roman"/>
          <w:sz w:val="20"/>
        </w:rPr>
        <w:t xml:space="preserve">” means the Ikena Oncology, Inc. 2021 Stock Option and Incentive Plan, as amended from time to time. </w:t>
      </w:r>
    </w:p>
    <w:p>
      <w:pPr>
        <w:pStyle w:val="TextBody"/>
        <w:bidi w:val="0"/>
        <w:spacing w:before="120" w:after="0"/>
        <w:jc w:val="left"/>
        <w:rPr>
          <w:rFonts w:ascii="Times New Roman" w:hAnsi="Times New Roman"/>
          <w:sz w:val="20"/>
        </w:rPr>
      </w:pPr>
      <w:r>
        <w:rPr>
          <w:rFonts w:ascii="Times New Roman" w:hAnsi="Times New Roman"/>
          <w:b/>
          <w:sz w:val="20"/>
        </w:rPr>
        <w:t>(eee)</w:t>
      </w:r>
      <w:r>
        <w:rPr>
          <w:rFonts w:ascii="Times New Roman" w:hAnsi="Times New Roman"/>
          <w:sz w:val="20"/>
        </w:rPr>
        <w:t xml:space="preserve"> “</w:t>
      </w:r>
      <w:r>
        <w:rPr>
          <w:rFonts w:ascii="Times New Roman" w:hAnsi="Times New Roman"/>
          <w:b/>
          <w:i/>
          <w:sz w:val="20"/>
        </w:rPr>
        <w:t>Prospectus</w:t>
      </w:r>
      <w:r>
        <w:rPr>
          <w:rFonts w:ascii="Times New Roman" w:hAnsi="Times New Roman"/>
          <w:sz w:val="20"/>
        </w:rPr>
        <w:t xml:space="preserve">” means the document containing the Plan information specified in Section 10(a)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(fff)</w:t>
      </w:r>
      <w:r>
        <w:rPr>
          <w:rFonts w:ascii="Times New Roman" w:hAnsi="Times New Roman"/>
          <w:sz w:val="20"/>
        </w:rPr>
        <w:t xml:space="preserve"> “</w:t>
      </w:r>
      <w:r>
        <w:rPr>
          <w:rFonts w:ascii="Times New Roman" w:hAnsi="Times New Roman"/>
          <w:b/>
          <w:i/>
          <w:sz w:val="20"/>
        </w:rPr>
        <w:t>Restricted Stock Award</w:t>
      </w:r>
      <w:r>
        <w:rPr>
          <w:rFonts w:ascii="Times New Roman" w:hAnsi="Times New Roman"/>
          <w:sz w:val="20"/>
        </w:rPr>
        <w:t>” or “</w:t>
      </w:r>
      <w:r>
        <w:rPr>
          <w:rFonts w:ascii="Times New Roman" w:hAnsi="Times New Roman"/>
          <w:b/>
          <w:i/>
          <w:sz w:val="20"/>
        </w:rPr>
        <w:t>RSA</w:t>
      </w:r>
      <w:r>
        <w:rPr>
          <w:rFonts w:ascii="Times New Roman" w:hAnsi="Times New Roman"/>
          <w:sz w:val="20"/>
        </w:rPr>
        <w:t xml:space="preserve">” means an Award of shares of Common Stock which is granted pursuant to the terms and conditions of Section 5(a). </w:t>
      </w:r>
    </w:p>
    <w:p>
      <w:pPr>
        <w:pStyle w:val="TextBody"/>
        <w:bidi w:val="0"/>
        <w:spacing w:before="120" w:after="0"/>
        <w:jc w:val="left"/>
        <w:rPr>
          <w:rFonts w:ascii="Times New Roman" w:hAnsi="Times New Roman"/>
          <w:sz w:val="20"/>
        </w:rPr>
      </w:pPr>
      <w:r>
        <w:rPr>
          <w:rFonts w:ascii="Times New Roman" w:hAnsi="Times New Roman"/>
          <w:b/>
          <w:sz w:val="20"/>
        </w:rPr>
        <w:t>(ggg)</w:t>
      </w:r>
      <w:r>
        <w:rPr>
          <w:rFonts w:ascii="Times New Roman" w:hAnsi="Times New Roman"/>
          <w:sz w:val="20"/>
        </w:rPr>
        <w:t xml:space="preserve"> “</w:t>
      </w:r>
      <w:r>
        <w:rPr>
          <w:rFonts w:ascii="Times New Roman" w:hAnsi="Times New Roman"/>
          <w:b/>
          <w:i/>
          <w:sz w:val="20"/>
        </w:rPr>
        <w:t>Restricted Stock Award Agreement</w:t>
      </w:r>
      <w:r>
        <w:rPr>
          <w:rFonts w:ascii="Times New Roman" w:hAnsi="Times New Roman"/>
          <w:sz w:val="20"/>
        </w:rPr>
        <w:t xml:space="preserve">”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 </w:t>
      </w:r>
    </w:p>
    <w:p>
      <w:pPr>
        <w:pStyle w:val="TextBody"/>
        <w:bidi w:val="0"/>
        <w:spacing w:before="120" w:after="0"/>
        <w:jc w:val="left"/>
        <w:rPr>
          <w:rFonts w:ascii="Times New Roman" w:hAnsi="Times New Roman"/>
          <w:sz w:val="20"/>
        </w:rPr>
      </w:pPr>
      <w:r>
        <w:rPr>
          <w:rFonts w:ascii="Times New Roman" w:hAnsi="Times New Roman"/>
          <w:b/>
          <w:sz w:val="20"/>
        </w:rPr>
        <w:t>(hhh)</w:t>
      </w:r>
      <w:r>
        <w:rPr>
          <w:rFonts w:ascii="Times New Roman" w:hAnsi="Times New Roman"/>
          <w:sz w:val="20"/>
        </w:rPr>
        <w:t xml:space="preserve"> “</w:t>
      </w:r>
      <w:r>
        <w:rPr>
          <w:rFonts w:ascii="Times New Roman" w:hAnsi="Times New Roman"/>
          <w:b/>
          <w:i/>
          <w:sz w:val="20"/>
        </w:rPr>
        <w:t>Returning Shares</w:t>
      </w:r>
      <w:r>
        <w:rPr>
          <w:rFonts w:ascii="Times New Roman" w:hAnsi="Times New Roman"/>
          <w:sz w:val="20"/>
        </w:rPr>
        <w:t xml:space="preserve">”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bidi w:val="0"/>
        <w:spacing w:before="120" w:after="0"/>
        <w:jc w:val="left"/>
        <w:rPr>
          <w:rFonts w:ascii="Times New Roman" w:hAnsi="Times New Roman"/>
          <w:sz w:val="20"/>
        </w:rPr>
      </w:pPr>
      <w:r>
        <w:rPr>
          <w:rFonts w:ascii="Times New Roman" w:hAnsi="Times New Roman"/>
          <w:b/>
          <w:sz w:val="20"/>
        </w:rPr>
        <w:t>(jjj)</w:t>
      </w:r>
      <w:r>
        <w:rPr>
          <w:rFonts w:ascii="Times New Roman" w:hAnsi="Times New Roman"/>
          <w:sz w:val="20"/>
        </w:rPr>
        <w:t xml:space="preserve"> “</w:t>
      </w:r>
      <w:r>
        <w:rPr>
          <w:rFonts w:ascii="Times New Roman" w:hAnsi="Times New Roman"/>
          <w:b/>
          <w:i/>
          <w:sz w:val="20"/>
        </w:rPr>
        <w:t>RSU Award Agreement</w:t>
      </w:r>
      <w:r>
        <w:rPr>
          <w:rFonts w:ascii="Times New Roman" w:hAnsi="Times New Roman"/>
          <w:sz w:val="20"/>
        </w:rPr>
        <w:t xml:space="preserve">”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 </w:t>
      </w:r>
    </w:p>
    <w:p>
      <w:pPr>
        <w:pStyle w:val="TextBody"/>
        <w:bidi w:val="0"/>
        <w:spacing w:before="120" w:after="0"/>
        <w:jc w:val="left"/>
        <w:rPr>
          <w:rFonts w:ascii="Times New Roman" w:hAnsi="Times New Roman"/>
          <w:sz w:val="20"/>
        </w:rPr>
      </w:pPr>
      <w:r>
        <w:rPr>
          <w:rFonts w:ascii="Times New Roman" w:hAnsi="Times New Roman"/>
          <w:b/>
          <w:sz w:val="20"/>
        </w:rPr>
        <w:t>(kkk)</w:t>
      </w:r>
      <w:r>
        <w:rPr>
          <w:rFonts w:ascii="Times New Roman" w:hAnsi="Times New Roman"/>
          <w:sz w:val="20"/>
        </w:rPr>
        <w:t xml:space="preserve">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120" w:after="0"/>
        <w:jc w:val="left"/>
        <w:rPr>
          <w:rFonts w:ascii="Times New Roman" w:hAnsi="Times New Roman"/>
          <w:sz w:val="20"/>
        </w:rPr>
      </w:pPr>
      <w:r>
        <w:rPr>
          <w:rFonts w:ascii="Times New Roman" w:hAnsi="Times New Roman"/>
          <w:b/>
          <w:sz w:val="20"/>
        </w:rPr>
        <w:t>(lll)</w:t>
      </w:r>
      <w:r>
        <w:rPr>
          <w:rFonts w:ascii="Times New Roman" w:hAnsi="Times New Roman"/>
          <w:sz w:val="20"/>
        </w:rPr>
        <w:t xml:space="preserve">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bidi w:val="0"/>
        <w:spacing w:before="120" w:after="0"/>
        <w:jc w:val="left"/>
        <w:rPr>
          <w:rFonts w:ascii="Times New Roman" w:hAnsi="Times New Roman"/>
          <w:sz w:val="20"/>
        </w:rPr>
      </w:pPr>
      <w:r>
        <w:rPr>
          <w:rFonts w:ascii="Times New Roman" w:hAnsi="Times New Roman"/>
          <w:b/>
          <w:sz w:val="20"/>
        </w:rPr>
        <w:t>(mmm)</w:t>
      </w:r>
      <w:r>
        <w:rPr>
          <w:rFonts w:ascii="Times New Roman" w:hAnsi="Times New Roman"/>
          <w:sz w:val="20"/>
        </w:rPr>
        <w:t xml:space="preserve"> “</w:t>
      </w:r>
      <w:r>
        <w:rPr>
          <w:rFonts w:ascii="Times New Roman" w:hAnsi="Times New Roman"/>
          <w:b/>
          <w:i/>
          <w:sz w:val="20"/>
        </w:rPr>
        <w:t>SAR Agreement</w:t>
      </w:r>
      <w:r>
        <w:rPr>
          <w:rFonts w:ascii="Times New Roman" w:hAnsi="Times New Roman"/>
          <w:sz w:val="20"/>
        </w:rPr>
        <w:t xml:space="preserve">”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 </w:t>
      </w:r>
    </w:p>
    <w:p>
      <w:pPr>
        <w:pStyle w:val="TextBody"/>
        <w:bidi w:val="0"/>
        <w:spacing w:before="120" w:after="0"/>
        <w:jc w:val="left"/>
        <w:rPr>
          <w:rFonts w:ascii="Times New Roman" w:hAnsi="Times New Roman"/>
          <w:sz w:val="20"/>
        </w:rPr>
      </w:pPr>
      <w:r>
        <w:rPr>
          <w:rFonts w:ascii="Times New Roman" w:hAnsi="Times New Roman"/>
          <w:b/>
          <w:sz w:val="20"/>
        </w:rPr>
        <w:t>(nnn)</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(ooo)</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 </w:t>
      </w:r>
    </w:p>
    <w:p>
      <w:pPr>
        <w:pStyle w:val="TextBody"/>
        <w:bidi w:val="0"/>
        <w:spacing w:before="120" w:after="0"/>
        <w:jc w:val="left"/>
        <w:rPr>
          <w:rFonts w:ascii="Times New Roman" w:hAnsi="Times New Roman"/>
          <w:sz w:val="20"/>
        </w:rPr>
      </w:pPr>
      <w:r>
        <w:rPr>
          <w:rFonts w:ascii="Times New Roman" w:hAnsi="Times New Roman"/>
          <w:b/>
          <w:sz w:val="20"/>
        </w:rPr>
        <w:t>(ppp)</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120" w:after="0"/>
        <w:jc w:val="left"/>
        <w:rPr>
          <w:rFonts w:ascii="Times New Roman" w:hAnsi="Times New Roman"/>
          <w:sz w:val="20"/>
        </w:rPr>
      </w:pPr>
      <w:r>
        <w:rPr>
          <w:rFonts w:ascii="Times New Roman" w:hAnsi="Times New Roman"/>
          <w:b/>
          <w:sz w:val="20"/>
        </w:rPr>
        <w:t>(qqq)</w:t>
      </w:r>
      <w:r>
        <w:rPr>
          <w:rFonts w:ascii="Times New Roman" w:hAnsi="Times New Roman"/>
          <w:sz w:val="20"/>
        </w:rPr>
        <w:t xml:space="preserve">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120" w:after="0"/>
        <w:jc w:val="left"/>
        <w:rPr>
          <w:rFonts w:ascii="Times New Roman" w:hAnsi="Times New Roman"/>
          <w:sz w:val="20"/>
        </w:rPr>
      </w:pPr>
      <w:r>
        <w:rPr>
          <w:rFonts w:ascii="Times New Roman" w:hAnsi="Times New Roman"/>
          <w:b/>
          <w:sz w:val="20"/>
        </w:rPr>
        <w:t>(rrr)</w:t>
      </w:r>
      <w:r>
        <w:rPr>
          <w:rFonts w:ascii="Times New Roman" w:hAnsi="Times New Roman"/>
          <w:sz w:val="20"/>
        </w:rPr>
        <w:t xml:space="preserve">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bidi w:val="0"/>
        <w:spacing w:before="120" w:after="0"/>
        <w:jc w:val="left"/>
        <w:rPr>
          <w:rFonts w:ascii="Times New Roman" w:hAnsi="Times New Roman"/>
          <w:sz w:val="20"/>
        </w:rPr>
      </w:pPr>
      <w:r>
        <w:rPr>
          <w:rFonts w:ascii="Times New Roman" w:hAnsi="Times New Roman"/>
          <w:b/>
          <w:sz w:val="20"/>
        </w:rPr>
        <w:t>(sss)</w:t>
      </w:r>
      <w:r>
        <w:rPr>
          <w:rFonts w:ascii="Times New Roman" w:hAnsi="Times New Roman"/>
          <w:sz w:val="20"/>
        </w:rPr>
        <w:t xml:space="preserve">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120" w:after="0"/>
        <w:jc w:val="left"/>
        <w:rPr>
          <w:rFonts w:ascii="Times New Roman" w:hAnsi="Times New Roman"/>
          <w:sz w:val="20"/>
        </w:rPr>
      </w:pPr>
      <w:r>
        <w:rPr>
          <w:rFonts w:ascii="Times New Roman" w:hAnsi="Times New Roman"/>
          <w:b/>
          <w:sz w:val="20"/>
        </w:rPr>
        <w:t>(ttt)</w:t>
      </w:r>
      <w:r>
        <w:rPr>
          <w:rFonts w:ascii="Times New Roman" w:hAnsi="Times New Roman"/>
          <w:sz w:val="20"/>
        </w:rPr>
        <w:t xml:space="preserve">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and legally applicable or deemed applicable to the Participant. </w:t>
      </w:r>
    </w:p>
    <w:p>
      <w:pPr>
        <w:pStyle w:val="TextBody"/>
        <w:bidi w:val="0"/>
        <w:spacing w:before="120" w:after="0"/>
        <w:jc w:val="left"/>
        <w:rPr>
          <w:rFonts w:ascii="Times New Roman" w:hAnsi="Times New Roman"/>
          <w:sz w:val="20"/>
        </w:rPr>
      </w:pPr>
      <w:r>
        <w:rPr>
          <w:rFonts w:ascii="Times New Roman" w:hAnsi="Times New Roman"/>
          <w:b/>
          <w:sz w:val="20"/>
        </w:rPr>
        <w:t>(uuu)</w:t>
      </w:r>
      <w:r>
        <w:rPr>
          <w:rFonts w:ascii="Times New Roman" w:hAnsi="Times New Roman"/>
          <w:sz w:val="20"/>
        </w:rPr>
        <w:t xml:space="preserve">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bidi w:val="0"/>
        <w:spacing w:before="120" w:after="0"/>
        <w:jc w:val="left"/>
        <w:rPr>
          <w:rFonts w:ascii="Times New Roman" w:hAnsi="Times New Roman"/>
          <w:sz w:val="20"/>
        </w:rPr>
      </w:pPr>
      <w:r>
        <w:rPr>
          <w:rFonts w:ascii="Times New Roman" w:hAnsi="Times New Roman"/>
          <w:b/>
          <w:sz w:val="20"/>
        </w:rPr>
        <w:t>(vvv)</w:t>
      </w:r>
      <w:r>
        <w:rPr>
          <w:rFonts w:ascii="Times New Roman" w:hAnsi="Times New Roman"/>
          <w:sz w:val="20"/>
        </w:rPr>
        <w:t xml:space="preserve">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120" w:after="0"/>
        <w:jc w:val="left"/>
        <w:rPr>
          <w:rFonts w:ascii="Times New Roman" w:hAnsi="Times New Roman"/>
          <w:sz w:val="20"/>
        </w:rPr>
      </w:pPr>
      <w:r>
        <w:rPr>
          <w:rFonts w:ascii="Times New Roman" w:hAnsi="Times New Roman"/>
          <w:b/>
          <w:sz w:val="20"/>
        </w:rPr>
        <w:t>(www)</w:t>
      </w:r>
      <w:r>
        <w:rPr>
          <w:rFonts w:ascii="Times New Roman" w:hAnsi="Times New Roman"/>
          <w:sz w:val="20"/>
        </w:rPr>
        <w:t xml:space="preserve"> “</w:t>
      </w:r>
      <w:r>
        <w:rPr>
          <w:rFonts w:ascii="Times New Roman" w:hAnsi="Times New Roman"/>
          <w:b/>
          <w:i/>
          <w:sz w:val="20"/>
        </w:rPr>
        <w:t>Unvested Non-Exempt Award</w:t>
      </w:r>
      <w:r>
        <w:rPr>
          <w:rFonts w:ascii="Times New Roman" w:hAnsi="Times New Roman"/>
          <w:sz w:val="20"/>
        </w:rPr>
        <w:t xml:space="preserve">” means the portion of any Non-Exempt Award that had not vested in accordance with its terms upon or prior to the date of any Corporate Transaction. </w:t>
      </w:r>
    </w:p>
    <w:p>
      <w:pPr>
        <w:pStyle w:val="TextBody"/>
        <w:bidi w:val="0"/>
        <w:spacing w:before="120" w:after="0"/>
        <w:jc w:val="left"/>
        <w:rPr>
          <w:rFonts w:ascii="Times New Roman" w:hAnsi="Times New Roman"/>
          <w:sz w:val="20"/>
        </w:rPr>
      </w:pPr>
      <w:r>
        <w:rPr>
          <w:rFonts w:ascii="Times New Roman" w:hAnsi="Times New Roman"/>
          <w:b/>
          <w:sz w:val="20"/>
        </w:rPr>
        <w:t>(xxx)</w:t>
      </w:r>
      <w:r>
        <w:rPr>
          <w:rFonts w:ascii="Times New Roman" w:hAnsi="Times New Roman"/>
          <w:sz w:val="20"/>
        </w:rPr>
        <w:t xml:space="preserve"> “</w:t>
      </w:r>
      <w:r>
        <w:rPr>
          <w:rFonts w:ascii="Times New Roman" w:hAnsi="Times New Roman"/>
          <w:b/>
          <w:i/>
          <w:sz w:val="20"/>
        </w:rPr>
        <w:t>Vested Non-Exempt Award</w:t>
      </w:r>
      <w:r>
        <w:rPr>
          <w:rFonts w:ascii="Times New Roman" w:hAnsi="Times New Roman"/>
          <w:sz w:val="20"/>
        </w:rPr>
        <w:t xml:space="preserve">” means the portion of any Non-Exempt Award that had vested in accordance with its terms upon or prior to the date of a Corporate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19459</Words>
  <Characters>101051</Characters>
  <CharactersWithSpaces>120558</CharactersWithSpaces>
  <Paragraphs>505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